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BBAB4">
      <w:pPr>
        <w:spacing w:line="240" w:lineRule="auto"/>
        <w:ind w:firstLine="0" w:firstLineChars="0"/>
        <w:jc w:val="center"/>
        <w:rPr>
          <w:rFonts w:hint="eastAsia" w:ascii="方正仿宋_GBK" w:hAnsi="宋体" w:eastAsia="方正仿宋_GBK" w:cs="宋体"/>
          <w:color w:val="000000" w:themeColor="text1"/>
          <w:sz w:val="36"/>
          <w:szCs w:val="22"/>
          <w14:textFill>
            <w14:solidFill>
              <w14:schemeClr w14:val="tx1"/>
            </w14:solidFill>
          </w14:textFill>
        </w:rPr>
      </w:pPr>
      <w:bookmarkStart w:id="0" w:name="_Toc487791125"/>
      <w:bookmarkStart w:id="1" w:name="_Toc28287"/>
      <w:bookmarkStart w:id="2" w:name="_Toc457464666"/>
      <w:bookmarkStart w:id="3" w:name="_Toc30975"/>
      <w:bookmarkStart w:id="4" w:name="_Toc490483529"/>
      <w:bookmarkStart w:id="5" w:name="_Toc499740343"/>
      <w:bookmarkStart w:id="6" w:name="_Toc496021249"/>
      <w:bookmarkStart w:id="7" w:name="_Toc499740421"/>
      <w:bookmarkStart w:id="8" w:name="_Toc463772485"/>
      <w:bookmarkStart w:id="9" w:name="_Toc30527"/>
      <w:bookmarkStart w:id="10" w:name="_Toc482610222"/>
      <w:bookmarkStart w:id="11" w:name="_Toc31607"/>
      <w:bookmarkStart w:id="12" w:name="_Toc27683"/>
      <w:bookmarkStart w:id="13" w:name="_Toc494292903"/>
    </w:p>
    <w:p w14:paraId="33564EC1">
      <w:pPr>
        <w:spacing w:line="240" w:lineRule="auto"/>
        <w:ind w:firstLine="0" w:firstLineChars="0"/>
        <w:jc w:val="center"/>
        <w:rPr>
          <w:rFonts w:hint="eastAsia" w:ascii="方正仿宋_GBK" w:hAnsi="宋体" w:eastAsia="方正仿宋_GBK" w:cs="宋体"/>
          <w:color w:val="000000" w:themeColor="text1"/>
          <w:sz w:val="36"/>
          <w:szCs w:val="22"/>
          <w14:textFill>
            <w14:solidFill>
              <w14:schemeClr w14:val="tx1"/>
            </w14:solidFill>
          </w14:textFill>
        </w:rPr>
      </w:pPr>
    </w:p>
    <w:p w14:paraId="111800E8">
      <w:pPr>
        <w:spacing w:line="240" w:lineRule="auto"/>
        <w:ind w:firstLine="0" w:firstLineChars="0"/>
        <w:jc w:val="center"/>
        <w:rPr>
          <w:rFonts w:hint="eastAsia" w:ascii="方正仿宋_GBK" w:hAnsi="宋体" w:eastAsia="方正仿宋_GBK" w:cs="宋体"/>
          <w:b/>
          <w:bCs/>
          <w:color w:val="000000" w:themeColor="text1"/>
          <w:sz w:val="72"/>
          <w:szCs w:val="72"/>
          <w14:textFill>
            <w14:solidFill>
              <w14:schemeClr w14:val="tx1"/>
            </w14:solidFill>
          </w14:textFill>
        </w:rPr>
      </w:pPr>
      <w:bookmarkStart w:id="14" w:name="_Toc8021"/>
      <w:bookmarkStart w:id="15" w:name="_Toc438131407"/>
      <w:bookmarkStart w:id="16" w:name="_Toc409193449"/>
      <w:bookmarkStart w:id="17" w:name="_Toc446943624"/>
      <w:bookmarkStart w:id="18" w:name="_Toc469316947"/>
      <w:bookmarkStart w:id="19" w:name="_Toc439852594"/>
      <w:bookmarkStart w:id="20" w:name="_Toc409189801"/>
      <w:bookmarkStart w:id="21" w:name="_Toc6605"/>
      <w:bookmarkStart w:id="22" w:name="_Toc457464664"/>
      <w:bookmarkStart w:id="23" w:name="_Toc430867917"/>
      <w:bookmarkStart w:id="24" w:name="_Toc463772483"/>
      <w:bookmarkStart w:id="25" w:name="_Toc456086365"/>
      <w:bookmarkStart w:id="26" w:name="_Toc409192623"/>
      <w:bookmarkStart w:id="27" w:name="_Toc438132321"/>
      <w:bookmarkStart w:id="28" w:name="_Toc409189910"/>
      <w:bookmarkStart w:id="29" w:name="_Toc17077"/>
      <w:bookmarkStart w:id="30" w:name="_Toc409193567"/>
      <w:bookmarkStart w:id="31" w:name="_Toc435625957"/>
      <w:bookmarkStart w:id="32" w:name="_Toc468721588"/>
      <w:bookmarkStart w:id="33" w:name="_Toc451249795"/>
      <w:bookmarkStart w:id="34" w:name="_Toc409192309"/>
      <w:bookmarkStart w:id="35" w:name="_Toc413685992"/>
      <w:bookmarkStart w:id="36" w:name="_Toc431195362"/>
      <w:bookmarkStart w:id="37" w:name="_Toc435688983"/>
      <w:bookmarkStart w:id="38" w:name="_Toc409425101"/>
      <w:bookmarkStart w:id="39" w:name="_Toc446944053"/>
      <w:bookmarkStart w:id="40" w:name="_Toc438137159"/>
      <w:bookmarkStart w:id="41" w:name="_Toc441071193"/>
      <w:bookmarkStart w:id="42" w:name="_Toc29432"/>
      <w:bookmarkStart w:id="43" w:name="_Toc413679810"/>
      <w:r>
        <w:rPr>
          <w:rFonts w:hint="eastAsia" w:ascii="方正仿宋_GBK" w:hAnsi="宋体" w:eastAsia="方正仿宋_GBK" w:cs="宋体"/>
          <w:b/>
          <w:bCs/>
          <w:color w:val="000000" w:themeColor="text1"/>
          <w:sz w:val="72"/>
          <w:szCs w:val="72"/>
          <w14:textFill>
            <w14:solidFill>
              <w14:schemeClr w14:val="tx1"/>
            </w14:solidFill>
          </w14:textFill>
        </w:rPr>
        <w:t>重庆市农产品集团食品科技</w:t>
      </w:r>
    </w:p>
    <w:p w14:paraId="60E77FFF">
      <w:pPr>
        <w:spacing w:line="240" w:lineRule="auto"/>
        <w:ind w:firstLine="0" w:firstLineChars="0"/>
        <w:jc w:val="center"/>
        <w:rPr>
          <w:rFonts w:hint="eastAsia" w:ascii="方正仿宋_GBK" w:hAnsi="宋体" w:eastAsia="方正仿宋_GBK" w:cs="宋体"/>
          <w:b/>
          <w:bCs/>
          <w:color w:val="000000" w:themeColor="text1"/>
          <w:sz w:val="72"/>
          <w:szCs w:val="72"/>
          <w14:textFill>
            <w14:solidFill>
              <w14:schemeClr w14:val="tx1"/>
            </w14:solidFill>
          </w14:textFill>
        </w:rPr>
      </w:pPr>
      <w:r>
        <w:rPr>
          <w:rFonts w:hint="eastAsia" w:ascii="方正仿宋_GBK" w:hAnsi="宋体" w:eastAsia="方正仿宋_GBK" w:cs="宋体"/>
          <w:b/>
          <w:bCs/>
          <w:color w:val="000000" w:themeColor="text1"/>
          <w:sz w:val="72"/>
          <w:szCs w:val="72"/>
          <w14:textFill>
            <w14:solidFill>
              <w14:schemeClr w14:val="tx1"/>
            </w14:solidFill>
          </w14:textFill>
        </w:rPr>
        <w:t>有限公司</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C2650ED">
      <w:pPr>
        <w:spacing w:line="240" w:lineRule="auto"/>
        <w:ind w:firstLine="0" w:firstLineChars="0"/>
        <w:jc w:val="center"/>
        <w:rPr>
          <w:rFonts w:hint="eastAsia" w:ascii="方正仿宋_GBK" w:hAnsi="宋体" w:eastAsia="方正仿宋_GBK" w:cs="宋体"/>
          <w:b/>
          <w:bCs/>
          <w:color w:val="000000" w:themeColor="text1"/>
          <w:sz w:val="96"/>
          <w:szCs w:val="96"/>
          <w14:textFill>
            <w14:solidFill>
              <w14:schemeClr w14:val="tx1"/>
            </w14:solidFill>
          </w14:textFill>
        </w:rPr>
      </w:pPr>
    </w:p>
    <w:p w14:paraId="54FB4E2B">
      <w:pPr>
        <w:spacing w:line="240" w:lineRule="auto"/>
        <w:ind w:firstLine="0" w:firstLineChars="0"/>
        <w:jc w:val="center"/>
        <w:rPr>
          <w:rFonts w:hint="eastAsia" w:ascii="方正仿宋_GBK" w:hAnsi="宋体" w:eastAsia="方正仿宋_GBK" w:cs="宋体"/>
          <w:b/>
          <w:bCs/>
          <w:color w:val="000000" w:themeColor="text1"/>
          <w:sz w:val="96"/>
          <w:szCs w:val="96"/>
          <w14:textFill>
            <w14:solidFill>
              <w14:schemeClr w14:val="tx1"/>
            </w14:solidFill>
          </w14:textFill>
        </w:rPr>
      </w:pPr>
      <w:r>
        <w:rPr>
          <w:rFonts w:hint="eastAsia" w:ascii="方正仿宋_GBK" w:hAnsi="宋体" w:eastAsia="方正仿宋_GBK" w:cs="宋体"/>
          <w:b/>
          <w:bCs/>
          <w:color w:val="000000" w:themeColor="text1"/>
          <w:sz w:val="96"/>
          <w:szCs w:val="96"/>
          <w14:textFill>
            <w14:solidFill>
              <w14:schemeClr w14:val="tx1"/>
            </w14:solidFill>
          </w14:textFill>
        </w:rPr>
        <w:t>竞争性比价文件</w:t>
      </w:r>
    </w:p>
    <w:p w14:paraId="47F298B1">
      <w:pPr>
        <w:spacing w:line="240" w:lineRule="auto"/>
        <w:ind w:firstLine="0" w:firstLineChars="0"/>
        <w:jc w:val="center"/>
        <w:rPr>
          <w:rFonts w:hint="eastAsia" w:ascii="方正仿宋_GBK" w:hAnsi="宋体" w:eastAsia="方正仿宋_GBK" w:cs="宋体"/>
          <w:color w:val="000000" w:themeColor="text1"/>
          <w:sz w:val="36"/>
          <w:szCs w:val="22"/>
          <w14:textFill>
            <w14:solidFill>
              <w14:schemeClr w14:val="tx1"/>
            </w14:solidFill>
          </w14:textFill>
        </w:rPr>
      </w:pPr>
    </w:p>
    <w:p w14:paraId="40D8ACAC">
      <w:pPr>
        <w:spacing w:line="240" w:lineRule="auto"/>
        <w:ind w:firstLine="0" w:firstLineChars="0"/>
        <w:jc w:val="center"/>
        <w:rPr>
          <w:rFonts w:hint="eastAsia" w:ascii="方正仿宋_GBK" w:hAnsi="宋体" w:eastAsia="方正仿宋_GBK" w:cs="宋体"/>
          <w:color w:val="000000" w:themeColor="text1"/>
          <w:sz w:val="36"/>
          <w:szCs w:val="22"/>
          <w14:textFill>
            <w14:solidFill>
              <w14:schemeClr w14:val="tx1"/>
            </w14:solidFill>
          </w14:textFill>
        </w:rPr>
      </w:pPr>
    </w:p>
    <w:p w14:paraId="53650B50">
      <w:pPr>
        <w:spacing w:line="240" w:lineRule="auto"/>
        <w:ind w:firstLine="0" w:firstLineChars="0"/>
        <w:jc w:val="center"/>
        <w:rPr>
          <w:rFonts w:hint="eastAsia" w:ascii="方正仿宋_GBK" w:hAnsi="宋体" w:eastAsia="方正仿宋_GBK" w:cs="宋体"/>
          <w:color w:val="000000" w:themeColor="text1"/>
          <w:sz w:val="36"/>
          <w:szCs w:val="22"/>
          <w14:textFill>
            <w14:solidFill>
              <w14:schemeClr w14:val="tx1"/>
            </w14:solidFill>
          </w14:textFill>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66FEB2E">
      <w:pPr>
        <w:spacing w:line="360" w:lineRule="auto"/>
        <w:ind w:firstLine="321" w:firstLineChars="100"/>
        <w:rPr>
          <w:rFonts w:hint="eastAsia" w:ascii="方正仿宋_GBK" w:hAnsi="宋体" w:eastAsia="方正仿宋_GBK" w:cs="宋体"/>
          <w:b/>
          <w:bCs/>
          <w:color w:val="000000" w:themeColor="text1"/>
          <w:sz w:val="32"/>
          <w:szCs w:val="21"/>
          <w14:textFill>
            <w14:solidFill>
              <w14:schemeClr w14:val="tx1"/>
            </w14:solidFill>
          </w14:textFill>
        </w:rPr>
      </w:pPr>
      <w:r>
        <w:rPr>
          <w:rFonts w:hint="eastAsia" w:ascii="方正仿宋_GBK" w:hAnsi="宋体" w:eastAsia="方正仿宋_GBK" w:cs="宋体"/>
          <w:b/>
          <w:bCs/>
          <w:color w:val="000000" w:themeColor="text1"/>
          <w:sz w:val="32"/>
          <w:szCs w:val="21"/>
          <w14:textFill>
            <w14:solidFill>
              <w14:schemeClr w14:val="tx1"/>
            </w14:solidFill>
          </w14:textFill>
        </w:rPr>
        <w:t>项目编号：</w:t>
      </w:r>
      <w:bookmarkStart w:id="44" w:name="_Toc413679812"/>
      <w:bookmarkStart w:id="45" w:name="_Toc14433"/>
      <w:bookmarkStart w:id="46" w:name="_Toc435688985"/>
      <w:bookmarkStart w:id="47" w:name="_Toc456086367"/>
      <w:bookmarkStart w:id="48" w:name="_Toc438137161"/>
      <w:bookmarkStart w:id="49" w:name="_Toc30923"/>
      <w:bookmarkStart w:id="50" w:name="_Toc413685994"/>
      <w:bookmarkStart w:id="51" w:name="_Toc446944055"/>
      <w:bookmarkStart w:id="52" w:name="_Toc435625959"/>
      <w:bookmarkStart w:id="53" w:name="_Toc409192311"/>
      <w:bookmarkStart w:id="54" w:name="_Toc409189912"/>
      <w:bookmarkStart w:id="55" w:name="_Toc431195364"/>
      <w:bookmarkStart w:id="56" w:name="_Toc409189803"/>
      <w:bookmarkStart w:id="57" w:name="_Toc409193451"/>
      <w:bookmarkStart w:id="58" w:name="_Toc441071195"/>
      <w:bookmarkStart w:id="59" w:name="_Toc409193569"/>
      <w:bookmarkStart w:id="60" w:name="_Toc409192625"/>
      <w:bookmarkStart w:id="61" w:name="_Toc446943626"/>
      <w:bookmarkStart w:id="62" w:name="_Toc439852596"/>
      <w:bookmarkStart w:id="63" w:name="_Toc409425103"/>
      <w:bookmarkStart w:id="64" w:name="_Toc451249797"/>
      <w:bookmarkStart w:id="65" w:name="_Toc469316949"/>
      <w:bookmarkStart w:id="66" w:name="_Toc438132323"/>
      <w:bookmarkStart w:id="67" w:name="_Toc438131409"/>
      <w:bookmarkStart w:id="68" w:name="_Toc468721590"/>
      <w:bookmarkStart w:id="69" w:name="_Toc430867919"/>
    </w:p>
    <w:p w14:paraId="6E9E2BDC">
      <w:pPr>
        <w:spacing w:line="360" w:lineRule="auto"/>
        <w:ind w:firstLine="321" w:firstLineChars="100"/>
        <w:jc w:val="left"/>
        <w:rPr>
          <w:rFonts w:hint="eastAsia" w:ascii="方正仿宋_GBK" w:hAnsi="宋体" w:eastAsia="方正仿宋_GBK" w:cs="宋体"/>
          <w:b/>
          <w:bCs/>
          <w:color w:val="000000" w:themeColor="text1"/>
          <w:sz w:val="32"/>
          <w:szCs w:val="21"/>
          <w14:textFill>
            <w14:solidFill>
              <w14:schemeClr w14:val="tx1"/>
            </w14:solidFill>
          </w14:textFill>
        </w:rPr>
      </w:pPr>
      <w:r>
        <w:rPr>
          <w:rFonts w:hint="eastAsia" w:ascii="方正仿宋_GBK" w:hAnsi="宋体" w:eastAsia="方正仿宋_GBK" w:cs="宋体"/>
          <w:b/>
          <w:bCs/>
          <w:color w:val="000000" w:themeColor="text1"/>
          <w:sz w:val="32"/>
          <w:szCs w:val="21"/>
          <w14:textFill>
            <w14:solidFill>
              <w14:schemeClr w14:val="tx1"/>
            </w14:solidFill>
          </w14:textFill>
        </w:rPr>
        <w:t>项目名称：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0" w:name="_Toc409189804"/>
      <w:bookmarkStart w:id="71" w:name="_Toc409192312"/>
      <w:bookmarkStart w:id="72" w:name="_Toc409425104"/>
      <w:bookmarkStart w:id="73" w:name="_Toc409192626"/>
      <w:bookmarkStart w:id="74" w:name="_Toc409193570"/>
      <w:bookmarkStart w:id="75" w:name="_Toc441071196"/>
      <w:bookmarkStart w:id="76" w:name="_Toc430867920"/>
      <w:bookmarkStart w:id="77" w:name="_Toc446943627"/>
      <w:bookmarkStart w:id="78" w:name="_Toc28553"/>
      <w:bookmarkStart w:id="79" w:name="_Toc435688986"/>
      <w:bookmarkStart w:id="80" w:name="_Toc1654"/>
      <w:bookmarkStart w:id="81" w:name="_Toc469316950"/>
      <w:bookmarkStart w:id="82" w:name="_Toc451249798"/>
      <w:bookmarkStart w:id="83" w:name="_Toc456086368"/>
      <w:bookmarkStart w:id="84" w:name="_Toc463772486"/>
      <w:bookmarkStart w:id="85" w:name="_Toc438137162"/>
      <w:bookmarkStart w:id="86" w:name="_Toc438132324"/>
      <w:bookmarkStart w:id="87" w:name="_Toc446944056"/>
      <w:bookmarkStart w:id="88" w:name="_Toc438131410"/>
      <w:bookmarkStart w:id="89" w:name="_Toc435625960"/>
      <w:bookmarkStart w:id="90" w:name="_Toc409193452"/>
      <w:bookmarkStart w:id="91" w:name="_Toc457464667"/>
      <w:bookmarkStart w:id="92" w:name="_Toc468721592"/>
      <w:bookmarkStart w:id="93" w:name="_Toc409189913"/>
      <w:bookmarkStart w:id="94" w:name="_Toc24913"/>
      <w:bookmarkStart w:id="95" w:name="_Toc413685995"/>
      <w:bookmarkStart w:id="96" w:name="_Toc439852597"/>
      <w:bookmarkStart w:id="97" w:name="_Toc413679813"/>
      <w:bookmarkStart w:id="98" w:name="_Toc18970"/>
      <w:bookmarkStart w:id="99" w:name="_Toc431195365"/>
      <w:r>
        <w:rPr>
          <w:rFonts w:hint="eastAsia" w:ascii="方正仿宋_GBK" w:hAnsi="宋体" w:eastAsia="方正仿宋_GBK" w:cs="宋体"/>
          <w:b/>
          <w:bCs/>
          <w:color w:val="000000" w:themeColor="text1"/>
          <w:sz w:val="32"/>
          <w:szCs w:val="21"/>
          <w14:textFill>
            <w14:solidFill>
              <w14:schemeClr w14:val="tx1"/>
            </w14:solidFill>
          </w14:textFill>
        </w:rPr>
        <w:t>二车间绞肉机及配套设备采购</w:t>
      </w:r>
    </w:p>
    <w:p w14:paraId="45058331">
      <w:pPr>
        <w:spacing w:line="360" w:lineRule="auto"/>
        <w:ind w:firstLine="321" w:firstLineChars="100"/>
        <w:jc w:val="left"/>
        <w:rPr>
          <w:rFonts w:hint="eastAsia" w:ascii="方正仿宋_GBK" w:hAnsi="宋体" w:eastAsia="方正仿宋_GBK" w:cs="宋体"/>
          <w:b/>
          <w:bCs/>
          <w:color w:val="000000" w:themeColor="text1"/>
          <w:sz w:val="32"/>
          <w:szCs w:val="21"/>
          <w14:textFill>
            <w14:solidFill>
              <w14:schemeClr w14:val="tx1"/>
            </w14:solidFill>
          </w14:textFill>
        </w:rPr>
      </w:pPr>
      <w:r>
        <w:rPr>
          <w:rFonts w:hint="eastAsia" w:ascii="方正仿宋_GBK" w:hAnsi="宋体" w:eastAsia="方正仿宋_GBK" w:cs="宋体"/>
          <w:b/>
          <w:bCs/>
          <w:color w:val="000000" w:themeColor="text1"/>
          <w:sz w:val="32"/>
          <w:szCs w:val="21"/>
          <w14:textFill>
            <w14:solidFill>
              <w14:schemeClr w14:val="tx1"/>
            </w14:solidFill>
          </w14:textFill>
        </w:rPr>
        <w:t>比价 人：</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方正仿宋_GBK" w:hAnsi="宋体" w:eastAsia="方正仿宋_GBK" w:cs="宋体"/>
          <w:b/>
          <w:bCs/>
          <w:color w:val="000000" w:themeColor="text1"/>
          <w:sz w:val="32"/>
          <w:szCs w:val="21"/>
          <w14:textFill>
            <w14:solidFill>
              <w14:schemeClr w14:val="tx1"/>
            </w14:solidFill>
          </w14:textFill>
        </w:rPr>
        <w:t>重庆市农产品集团食品科技有限公司</w:t>
      </w:r>
    </w:p>
    <w:p w14:paraId="7F86DAC5">
      <w:pPr>
        <w:spacing w:line="360" w:lineRule="auto"/>
        <w:ind w:firstLine="0" w:firstLineChars="0"/>
        <w:jc w:val="center"/>
        <w:rPr>
          <w:rFonts w:hint="eastAsia" w:ascii="方正仿宋_GBK" w:hAnsi="宋体" w:eastAsia="方正仿宋_GBK" w:cs="宋体"/>
          <w:color w:val="000000" w:themeColor="text1"/>
          <w:sz w:val="20"/>
          <w:szCs w:val="13"/>
          <w14:textFill>
            <w14:solidFill>
              <w14:schemeClr w14:val="tx1"/>
            </w14:solidFill>
          </w14:textFill>
        </w:rPr>
      </w:pPr>
    </w:p>
    <w:p w14:paraId="7383ADF3">
      <w:pPr>
        <w:pStyle w:val="20"/>
        <w:spacing w:line="500" w:lineRule="exact"/>
        <w:ind w:firstLine="0" w:firstLineChars="0"/>
        <w:outlineLvl w:val="0"/>
        <w:rPr>
          <w:rFonts w:hint="eastAsia" w:ascii="方正仿宋_GBK" w:hAnsi="宋体" w:eastAsia="方正仿宋_GBK" w:cs="宋体"/>
          <w:b/>
          <w:bCs/>
          <w:color w:val="000000" w:themeColor="text1"/>
          <w:sz w:val="32"/>
          <w:szCs w:val="21"/>
          <w14:textFill>
            <w14:solidFill>
              <w14:schemeClr w14:val="tx1"/>
            </w14:solidFill>
          </w14:textFill>
        </w:rPr>
      </w:pPr>
    </w:p>
    <w:p w14:paraId="1DB5432F">
      <w:pPr>
        <w:pStyle w:val="20"/>
        <w:spacing w:line="500" w:lineRule="exact"/>
        <w:ind w:firstLine="640"/>
        <w:jc w:val="center"/>
        <w:outlineLvl w:val="0"/>
        <w:rPr>
          <w:rFonts w:hint="eastAsia" w:ascii="方正仿宋_GBK" w:hAnsi="宋体" w:eastAsia="方正仿宋_GBK" w:cs="宋体"/>
          <w:b/>
          <w:bCs/>
          <w:color w:val="000000" w:themeColor="text1"/>
          <w:sz w:val="32"/>
          <w:szCs w:val="21"/>
          <w14:textFill>
            <w14:solidFill>
              <w14:schemeClr w14:val="tx1"/>
            </w14:solidFill>
          </w14:textFill>
        </w:rPr>
      </w:pPr>
    </w:p>
    <w:p w14:paraId="4DDF17F2">
      <w:pPr>
        <w:pStyle w:val="20"/>
        <w:spacing w:line="500" w:lineRule="exact"/>
        <w:ind w:firstLine="640"/>
        <w:jc w:val="center"/>
        <w:outlineLvl w:val="0"/>
        <w:rPr>
          <w:rFonts w:hint="eastAsia" w:ascii="方正仿宋_GBK" w:hAnsi="宋体" w:eastAsia="方正仿宋_GBK" w:cs="宋体"/>
          <w:b/>
          <w:color w:val="000000" w:themeColor="text1"/>
          <w:sz w:val="44"/>
          <w:szCs w:val="44"/>
          <w14:textFill>
            <w14:solidFill>
              <w14:schemeClr w14:val="tx1"/>
            </w14:solidFill>
          </w14:textFill>
        </w:rPr>
      </w:pPr>
      <w:r>
        <w:rPr>
          <w:rFonts w:hint="eastAsia" w:ascii="方正仿宋_GBK" w:hAnsi="宋体" w:eastAsia="方正仿宋_GBK" w:cs="宋体"/>
          <w:b/>
          <w:bCs/>
          <w:color w:val="000000" w:themeColor="text1"/>
          <w:sz w:val="32"/>
          <w:szCs w:val="21"/>
          <w14:textFill>
            <w14:solidFill>
              <w14:schemeClr w14:val="tx1"/>
            </w14:solidFill>
          </w14:textFill>
        </w:rPr>
        <w:t>2025年12月</w:t>
      </w:r>
      <w:r>
        <w:rPr>
          <w:rFonts w:ascii="方正仿宋_GBK" w:hAnsi="宋体" w:eastAsia="方正仿宋_GBK" w:cs="宋体"/>
          <w:color w:val="000000" w:themeColor="text1"/>
          <w:sz w:val="36"/>
          <w:szCs w:val="22"/>
          <w14:textFill>
            <w14:solidFill>
              <w14:schemeClr w14:val="tx1"/>
            </w14:solidFill>
          </w14:textFill>
        </w:rPr>
        <w:br w:type="page"/>
      </w:r>
      <w:bookmarkStart w:id="100" w:name="_Toc19977"/>
      <w:bookmarkStart w:id="101" w:name="_Toc27640"/>
      <w:bookmarkStart w:id="102" w:name="_Toc30691"/>
      <w:bookmarkStart w:id="103" w:name="_Toc14835"/>
      <w:bookmarkStart w:id="104" w:name="_Toc13256"/>
      <w:bookmarkStart w:id="105" w:name="_Toc27422"/>
      <w:bookmarkStart w:id="106" w:name="_Toc2320"/>
      <w:bookmarkStart w:id="107" w:name="_Toc29382"/>
      <w:bookmarkStart w:id="108" w:name="_Toc7334"/>
      <w:bookmarkStart w:id="109" w:name="_Toc63600401"/>
      <w:bookmarkStart w:id="110" w:name="_Toc26404"/>
      <w:bookmarkStart w:id="111" w:name="_Toc14796"/>
      <w:r>
        <w:rPr>
          <w:rFonts w:hint="eastAsia" w:ascii="方正仿宋_GBK" w:hAnsi="宋体" w:eastAsia="方正仿宋_GBK" w:cs="宋体"/>
          <w:b/>
          <w:color w:val="000000" w:themeColor="text1"/>
          <w:sz w:val="44"/>
          <w:szCs w:val="44"/>
          <w14:textFill>
            <w14:solidFill>
              <w14:schemeClr w14:val="tx1"/>
            </w14:solidFill>
          </w14:textFill>
        </w:rPr>
        <w:t>第一篇  竞价邀请书</w:t>
      </w:r>
      <w:bookmarkEnd w:id="100"/>
      <w:bookmarkEnd w:id="101"/>
      <w:bookmarkEnd w:id="102"/>
      <w:bookmarkEnd w:id="103"/>
      <w:bookmarkEnd w:id="104"/>
      <w:bookmarkEnd w:id="105"/>
      <w:bookmarkEnd w:id="106"/>
      <w:bookmarkEnd w:id="107"/>
      <w:bookmarkEnd w:id="108"/>
      <w:bookmarkEnd w:id="109"/>
      <w:bookmarkEnd w:id="110"/>
      <w:bookmarkEnd w:id="111"/>
    </w:p>
    <w:p w14:paraId="02A68FC3">
      <w:pPr>
        <w:spacing w:line="360" w:lineRule="auto"/>
        <w:ind w:firstLine="560"/>
        <w:rPr>
          <w:rFonts w:hint="eastAsia" w:ascii="仿宋" w:hAnsi="仿宋" w:eastAsia="仿宋" w:cs="仿宋"/>
          <w:color w:val="000000" w:themeColor="text1"/>
          <w:sz w:val="28"/>
          <w:szCs w:val="28"/>
          <w14:textFill>
            <w14:solidFill>
              <w14:schemeClr w14:val="tx1"/>
            </w14:solidFill>
          </w14:textFill>
        </w:rPr>
      </w:pPr>
    </w:p>
    <w:p w14:paraId="4AE5CE15">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重庆市农产品集团食品科技有限公司（以下简称：比价人）对二车间绞肉机及配套设备采购项目进行竞争性比价，欢迎有资格的竞价人参加竞价。</w:t>
      </w:r>
    </w:p>
    <w:p w14:paraId="6D1FD5D8">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112" w:name="_Toc21981"/>
      <w:bookmarkStart w:id="113" w:name="_Toc24517"/>
      <w:bookmarkStart w:id="114" w:name="_Toc32327"/>
      <w:bookmarkStart w:id="115" w:name="_Toc4151"/>
      <w:bookmarkStart w:id="116" w:name="_Toc27777"/>
      <w:bookmarkStart w:id="117" w:name="_Toc16873"/>
      <w:bookmarkStart w:id="118" w:name="_Toc17044"/>
      <w:bookmarkStart w:id="119" w:name="_Toc17693"/>
      <w:bookmarkStart w:id="120" w:name="_Toc409189608"/>
      <w:bookmarkStart w:id="121" w:name="_Toc394390667"/>
      <w:bookmarkStart w:id="122" w:name="_Toc1159"/>
      <w:bookmarkStart w:id="123" w:name="_Toc496021253"/>
      <w:bookmarkStart w:id="124" w:name="_Toc300"/>
      <w:bookmarkStart w:id="125" w:name="_Toc20488307"/>
      <w:bookmarkStart w:id="126" w:name="_Toc20489863"/>
      <w:bookmarkStart w:id="127" w:name="_Toc7466"/>
      <w:bookmarkStart w:id="128" w:name="_Toc24008"/>
      <w:bookmarkStart w:id="129" w:name="_Toc699"/>
      <w:bookmarkStart w:id="130" w:name="_Toc25986"/>
      <w:bookmarkStart w:id="131" w:name="_Toc63600402"/>
      <w:bookmarkStart w:id="132" w:name="_Toc13459"/>
      <w:r>
        <w:rPr>
          <w:rFonts w:hint="eastAsia" w:ascii="仿宋" w:hAnsi="仿宋" w:eastAsia="仿宋" w:cs="仿宋"/>
          <w:b/>
          <w:bCs/>
          <w:color w:val="000000" w:themeColor="text1"/>
          <w:sz w:val="28"/>
          <w:szCs w:val="28"/>
          <w14:textFill>
            <w14:solidFill>
              <w14:schemeClr w14:val="tx1"/>
            </w14:solidFill>
          </w14:textFill>
        </w:rPr>
        <w:t>一、采购项目内容</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29050"/>
      <w:bookmarkStart w:id="134" w:name="_Toc26914"/>
      <w:bookmarkStart w:id="135" w:name="_Toc22093"/>
      <w:bookmarkStart w:id="136" w:name="_Toc20489864"/>
      <w:bookmarkStart w:id="137" w:name="_Toc8351"/>
      <w:bookmarkStart w:id="138" w:name="_Toc409189609"/>
      <w:bookmarkStart w:id="139" w:name="_Toc2270"/>
      <w:bookmarkStart w:id="140" w:name="_Toc9115"/>
      <w:bookmarkStart w:id="141" w:name="_Toc394390668"/>
      <w:bookmarkStart w:id="142" w:name="_Toc1969"/>
      <w:bookmarkStart w:id="143" w:name="_Toc23509"/>
      <w:bookmarkStart w:id="144" w:name="_Toc23440"/>
      <w:bookmarkStart w:id="145" w:name="_Toc21449"/>
      <w:bookmarkStart w:id="146" w:name="_Toc17723"/>
      <w:bookmarkStart w:id="147" w:name="_Toc17506"/>
      <w:bookmarkStart w:id="148" w:name="_Toc11495"/>
      <w:bookmarkStart w:id="149" w:name="_Toc20488308"/>
      <w:bookmarkStart w:id="150" w:name="_Toc29997"/>
    </w:p>
    <w:tbl>
      <w:tblPr>
        <w:tblStyle w:val="33"/>
        <w:tblW w:w="5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2220"/>
        <w:gridCol w:w="1626"/>
        <w:gridCol w:w="1241"/>
        <w:gridCol w:w="2684"/>
      </w:tblGrid>
      <w:tr w14:paraId="0350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97" w:type="pct"/>
            <w:vAlign w:val="center"/>
          </w:tcPr>
          <w:p w14:paraId="795BA49E">
            <w:pPr>
              <w:spacing w:line="360" w:lineRule="auto"/>
              <w:ind w:firstLine="56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1057" w:type="pct"/>
            <w:vAlign w:val="center"/>
          </w:tcPr>
          <w:p w14:paraId="4BC749FE">
            <w:pPr>
              <w:spacing w:line="360" w:lineRule="auto"/>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最高采购限价</w:t>
            </w:r>
          </w:p>
        </w:tc>
        <w:tc>
          <w:tcPr>
            <w:tcW w:w="774" w:type="pct"/>
            <w:vAlign w:val="center"/>
          </w:tcPr>
          <w:p w14:paraId="376E7435">
            <w:pPr>
              <w:spacing w:line="360" w:lineRule="auto"/>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中标人数量（名）</w:t>
            </w:r>
          </w:p>
        </w:tc>
        <w:tc>
          <w:tcPr>
            <w:tcW w:w="591" w:type="pct"/>
            <w:vAlign w:val="center"/>
          </w:tcPr>
          <w:p w14:paraId="236CF46A">
            <w:pPr>
              <w:spacing w:line="360" w:lineRule="auto"/>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竞价保证金</w:t>
            </w:r>
          </w:p>
        </w:tc>
        <w:tc>
          <w:tcPr>
            <w:tcW w:w="1278" w:type="pct"/>
            <w:vAlign w:val="center"/>
          </w:tcPr>
          <w:p w14:paraId="25E95436">
            <w:pPr>
              <w:spacing w:line="360" w:lineRule="auto"/>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采购标的对应的中小企业划分标准所属行业</w:t>
            </w:r>
          </w:p>
        </w:tc>
      </w:tr>
      <w:tr w14:paraId="5CE9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97" w:type="pct"/>
            <w:vAlign w:val="center"/>
          </w:tcPr>
          <w:p w14:paraId="3D0AE577">
            <w:pPr>
              <w:spacing w:line="400" w:lineRule="exact"/>
              <w:ind w:firstLine="56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二车间绞肉机及配套设备采购</w:t>
            </w:r>
          </w:p>
        </w:tc>
        <w:tc>
          <w:tcPr>
            <w:tcW w:w="1057" w:type="pct"/>
            <w:vAlign w:val="center"/>
          </w:tcPr>
          <w:p w14:paraId="6611E47E">
            <w:pPr>
              <w:spacing w:line="360" w:lineRule="auto"/>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11.5万元</w:t>
            </w:r>
          </w:p>
        </w:tc>
        <w:tc>
          <w:tcPr>
            <w:tcW w:w="774" w:type="pct"/>
            <w:vAlign w:val="center"/>
          </w:tcPr>
          <w:p w14:paraId="57779395">
            <w:pPr>
              <w:spacing w:line="360" w:lineRule="auto"/>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591" w:type="pct"/>
            <w:vAlign w:val="center"/>
          </w:tcPr>
          <w:p w14:paraId="2165A4DB">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无</w:t>
            </w:r>
          </w:p>
        </w:tc>
        <w:tc>
          <w:tcPr>
            <w:tcW w:w="1278" w:type="pct"/>
            <w:vAlign w:val="center"/>
          </w:tcPr>
          <w:p w14:paraId="53722459">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工业</w:t>
            </w:r>
          </w:p>
        </w:tc>
      </w:tr>
    </w:tbl>
    <w:p w14:paraId="7D254F6D">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151" w:name="_Toc63600403"/>
      <w:bookmarkStart w:id="152" w:name="_Toc11307"/>
      <w:r>
        <w:rPr>
          <w:rFonts w:hint="eastAsia" w:ascii="仿宋" w:hAnsi="仿宋" w:eastAsia="仿宋" w:cs="仿宋"/>
          <w:b/>
          <w:bCs/>
          <w:color w:val="000000" w:themeColor="text1"/>
          <w:sz w:val="28"/>
          <w:szCs w:val="28"/>
          <w14:textFill>
            <w14:solidFill>
              <w14:schemeClr w14:val="tx1"/>
            </w14:solidFill>
          </w14:textFill>
        </w:rPr>
        <w:t>二、资金来源</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1203"/>
      <w:bookmarkStart w:id="154" w:name="_Toc394390669"/>
      <w:bookmarkStart w:id="155" w:name="_Toc409189610"/>
    </w:p>
    <w:p w14:paraId="1B650F65">
      <w:pPr>
        <w:spacing w:line="360" w:lineRule="auto"/>
        <w:ind w:firstLine="560"/>
        <w:rPr>
          <w:rFonts w:hint="eastAsia" w:ascii="仿宋" w:hAnsi="仿宋" w:eastAsia="仿宋" w:cs="仿宋"/>
          <w:color w:val="000000" w:themeColor="text1"/>
          <w:sz w:val="28"/>
          <w:szCs w:val="28"/>
          <w14:textFill>
            <w14:solidFill>
              <w14:schemeClr w14:val="tx1"/>
            </w14:solidFill>
          </w14:textFill>
        </w:rPr>
      </w:pPr>
      <w:bookmarkStart w:id="156" w:name="_Toc17861"/>
      <w:bookmarkStart w:id="157" w:name="_Toc21899"/>
      <w:bookmarkStart w:id="158" w:name="_Toc24430"/>
      <w:bookmarkStart w:id="159" w:name="_Toc14807"/>
      <w:bookmarkStart w:id="160" w:name="_Toc4484"/>
      <w:bookmarkStart w:id="161" w:name="_Toc20489865"/>
      <w:bookmarkStart w:id="162" w:name="_Toc63600404"/>
      <w:bookmarkStart w:id="163" w:name="_Toc4968"/>
      <w:bookmarkStart w:id="164" w:name="_Toc11539"/>
      <w:bookmarkStart w:id="165" w:name="_Toc16019"/>
      <w:bookmarkStart w:id="166" w:name="_Toc20062"/>
      <w:bookmarkStart w:id="167" w:name="_Toc16496"/>
      <w:bookmarkStart w:id="168" w:name="_Toc10686"/>
      <w:bookmarkStart w:id="169" w:name="_Toc21987"/>
      <w:bookmarkStart w:id="170" w:name="_Toc20488309"/>
      <w:bookmarkStart w:id="171" w:name="_Toc16736"/>
      <w:bookmarkStart w:id="172" w:name="_Toc19436"/>
      <w:r>
        <w:rPr>
          <w:rFonts w:hint="eastAsia" w:ascii="仿宋" w:hAnsi="仿宋" w:eastAsia="仿宋" w:cs="仿宋"/>
          <w:color w:val="000000" w:themeColor="text1"/>
          <w:sz w:val="28"/>
          <w:szCs w:val="28"/>
          <w14:textFill>
            <w14:solidFill>
              <w14:schemeClr w14:val="tx1"/>
            </w14:solidFill>
          </w14:textFill>
        </w:rPr>
        <w:t>企业自筹资金，金额为11.5万元</w:t>
      </w:r>
    </w:p>
    <w:p w14:paraId="0F0C66D8">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三、竞价人资格要求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9D21514">
      <w:pPr>
        <w:spacing w:line="360" w:lineRule="auto"/>
        <w:ind w:firstLine="0" w:firstLineChars="0"/>
        <w:rPr>
          <w:rFonts w:hint="eastAsia" w:ascii="仿宋" w:hAnsi="仿宋" w:eastAsia="仿宋" w:cs="仿宋"/>
          <w:color w:val="000000" w:themeColor="text1"/>
          <w:sz w:val="28"/>
          <w:szCs w:val="28"/>
          <w14:textFill>
            <w14:solidFill>
              <w14:schemeClr w14:val="tx1"/>
            </w14:solidFill>
          </w14:textFill>
        </w:rPr>
      </w:pPr>
      <w:bookmarkStart w:id="173" w:name="_Toc32520"/>
      <w:bookmarkStart w:id="174" w:name="_Toc10868"/>
      <w:bookmarkStart w:id="175" w:name="_Toc4375"/>
      <w:bookmarkStart w:id="176" w:name="_Toc19023"/>
      <w:bookmarkStart w:id="177" w:name="_Toc28986"/>
      <w:bookmarkStart w:id="178" w:name="_Toc409189611"/>
      <w:bookmarkStart w:id="179" w:name="_Toc20489866"/>
      <w:bookmarkStart w:id="180" w:name="_Toc32518"/>
      <w:bookmarkStart w:id="181" w:name="_Toc9581"/>
      <w:bookmarkStart w:id="182" w:name="_Toc9650"/>
      <w:bookmarkStart w:id="183" w:name="_Toc21667"/>
      <w:bookmarkStart w:id="184" w:name="_Toc19196"/>
      <w:bookmarkStart w:id="185" w:name="_Toc20488310"/>
      <w:bookmarkStart w:id="186" w:name="_Toc18825"/>
      <w:bookmarkStart w:id="187" w:name="_Toc25220"/>
      <w:bookmarkStart w:id="188" w:name="_Toc3846"/>
      <w:bookmarkStart w:id="189" w:name="_Toc5787"/>
      <w:bookmarkStart w:id="190" w:name="_Toc63600405"/>
      <w:bookmarkStart w:id="191" w:name="_Toc3449"/>
      <w:r>
        <w:rPr>
          <w:rFonts w:hint="eastAsia" w:ascii="仿宋" w:hAnsi="仿宋" w:eastAsia="仿宋" w:cs="仿宋"/>
          <w:color w:val="000000" w:themeColor="text1"/>
          <w:sz w:val="28"/>
          <w:szCs w:val="28"/>
          <w14:textFill>
            <w14:solidFill>
              <w14:schemeClr w14:val="tx1"/>
            </w14:solidFill>
          </w14:textFill>
        </w:rPr>
        <w:t>（一）一般要求：具有独立企业法人资格。</w:t>
      </w:r>
    </w:p>
    <w:p w14:paraId="3B7F8B57">
      <w:pPr>
        <w:spacing w:line="360" w:lineRule="auto"/>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（二）资质要求：供应商应具备独立研发或者制作能力，应具备相应的安装售后能力。</w:t>
      </w:r>
    </w:p>
    <w:p w14:paraId="271151BD">
      <w:pPr>
        <w:spacing w:line="360" w:lineRule="auto"/>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（三）其他要求：供应商均需提供1-3个服务案例。</w:t>
      </w:r>
    </w:p>
    <w:p w14:paraId="5E797DED">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四、竞价、开标有关说明</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5E0C4C3">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（一）竞价文件获取方式</w:t>
      </w:r>
    </w:p>
    <w:p w14:paraId="4AE95A9C">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比价人相关负责人（比价人总工程师：魏国庆；电话15223217908）于202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年12月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年1月</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日期间微信或电话邀请长期合作商报名</w:t>
      </w:r>
      <w:r>
        <w:rPr>
          <w:rFonts w:hint="eastAsia" w:ascii="仿宋" w:hAnsi="仿宋" w:eastAsia="仿宋" w:cs="仿宋"/>
          <w:color w:val="000000" w:themeColor="text1"/>
          <w:sz w:val="28"/>
          <w:szCs w:val="28"/>
          <w:lang w:val="en-US" w:eastAsia="zh-CN"/>
          <w14:textFill>
            <w14:solidFill>
              <w14:schemeClr w14:val="tx1"/>
            </w14:solidFill>
          </w14:textFill>
        </w:rPr>
        <w:t>或者在重庆市农产品（集团）有限公司官网挂网公示。在比价人相关负责人处</w:t>
      </w:r>
      <w:r>
        <w:rPr>
          <w:rFonts w:hint="eastAsia" w:ascii="仿宋" w:hAnsi="仿宋" w:eastAsia="仿宋" w:cs="仿宋"/>
          <w:color w:val="000000" w:themeColor="text1"/>
          <w:sz w:val="28"/>
          <w:szCs w:val="28"/>
          <w14:textFill>
            <w14:solidFill>
              <w14:schemeClr w14:val="tx1"/>
            </w14:solidFill>
          </w14:textFill>
        </w:rPr>
        <w:t>领取文件及有关资料。</w:t>
      </w:r>
      <w:bookmarkStart w:id="192" w:name="_Hlk175392192"/>
    </w:p>
    <w:bookmarkEnd w:id="192"/>
    <w:p w14:paraId="7545F08E">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（二）竞价文件获取期限：2025年12月</w:t>
      </w:r>
      <w:r>
        <w:rPr>
          <w:rFonts w:hint="eastAsia" w:ascii="仿宋" w:hAnsi="仿宋" w:eastAsia="仿宋" w:cs="仿宋"/>
          <w:color w:val="000000" w:themeColor="text1"/>
          <w:sz w:val="28"/>
          <w:szCs w:val="28"/>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年1月</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日。</w:t>
      </w:r>
    </w:p>
    <w:p w14:paraId="172A6848">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（三）竞价文件递交时间：2026年1月</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日9:30-10:00止（北京时间），逾期不予受理。</w:t>
      </w:r>
    </w:p>
    <w:p w14:paraId="50EF4CD3">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（四）递交竞价文件地点：</w:t>
      </w:r>
      <w:r>
        <w:rPr>
          <w:rFonts w:ascii="仿宋" w:hAnsi="仿宋" w:eastAsia="仿宋" w:cs="仿宋"/>
          <w:color w:val="000000" w:themeColor="text1"/>
          <w:sz w:val="28"/>
          <w:szCs w:val="28"/>
          <w14:textFill>
            <w14:solidFill>
              <w14:schemeClr w14:val="tx1"/>
            </w14:solidFill>
          </w14:textFill>
        </w:rPr>
        <w:t>重庆市万州区申明南路2</w:t>
      </w:r>
      <w:bookmarkStart w:id="832" w:name="_GoBack"/>
      <w:bookmarkEnd w:id="832"/>
      <w:r>
        <w:rPr>
          <w:rFonts w:ascii="仿宋" w:hAnsi="仿宋" w:eastAsia="仿宋" w:cs="仿宋"/>
          <w:color w:val="000000" w:themeColor="text1"/>
          <w:sz w:val="28"/>
          <w:szCs w:val="28"/>
          <w14:textFill>
            <w14:solidFill>
              <w14:schemeClr w14:val="tx1"/>
            </w14:solidFill>
          </w14:textFill>
        </w:rPr>
        <w:t>5号食品科技公司二楼会议室</w:t>
      </w:r>
      <w:r>
        <w:rPr>
          <w:rFonts w:hint="eastAsia" w:ascii="仿宋" w:hAnsi="仿宋" w:eastAsia="仿宋" w:cs="仿宋"/>
          <w:color w:val="000000" w:themeColor="text1"/>
          <w:sz w:val="28"/>
          <w:szCs w:val="28"/>
          <w14:textFill>
            <w14:solidFill>
              <w14:schemeClr w14:val="tx1"/>
            </w14:solidFill>
          </w14:textFill>
        </w:rPr>
        <w:t>。</w:t>
      </w:r>
    </w:p>
    <w:p w14:paraId="07631D1D">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（五）开标时间：2026年1月4日10:00时（无须竞价人到场）。</w:t>
      </w:r>
    </w:p>
    <w:p w14:paraId="00608894">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（六）开标地点：</w:t>
      </w:r>
      <w:r>
        <w:rPr>
          <w:rFonts w:ascii="仿宋" w:hAnsi="仿宋" w:eastAsia="仿宋" w:cs="仿宋"/>
          <w:color w:val="000000" w:themeColor="text1"/>
          <w:sz w:val="28"/>
          <w:szCs w:val="28"/>
          <w14:textFill>
            <w14:solidFill>
              <w14:schemeClr w14:val="tx1"/>
            </w14:solidFill>
          </w14:textFill>
        </w:rPr>
        <w:t>重庆市万州区申明南路25号食品科技公司二楼会议室</w:t>
      </w:r>
      <w:r>
        <w:rPr>
          <w:rFonts w:hint="eastAsia" w:ascii="仿宋" w:hAnsi="仿宋" w:eastAsia="仿宋" w:cs="仿宋"/>
          <w:color w:val="000000" w:themeColor="text1"/>
          <w:sz w:val="28"/>
          <w:szCs w:val="28"/>
          <w14:textFill>
            <w14:solidFill>
              <w14:schemeClr w14:val="tx1"/>
            </w14:solidFill>
          </w14:textFill>
        </w:rPr>
        <w:t>。</w:t>
      </w:r>
    </w:p>
    <w:p w14:paraId="12643B3C">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193" w:name="_Toc23666"/>
      <w:bookmarkStart w:id="194" w:name="_Toc8946"/>
      <w:bookmarkStart w:id="195" w:name="_Toc63600406"/>
      <w:bookmarkStart w:id="196" w:name="_Toc20489867"/>
      <w:bookmarkStart w:id="197" w:name="_Toc25539"/>
      <w:bookmarkStart w:id="198" w:name="_Toc30015"/>
      <w:bookmarkStart w:id="199" w:name="_Toc20488311"/>
      <w:bookmarkStart w:id="200" w:name="_Toc28998"/>
      <w:bookmarkStart w:id="201" w:name="_Toc2076"/>
      <w:bookmarkStart w:id="202" w:name="_Toc495592636"/>
      <w:bookmarkStart w:id="203" w:name="_Toc16143"/>
      <w:bookmarkStart w:id="204" w:name="_Toc708"/>
      <w:bookmarkStart w:id="205" w:name="_Toc18129"/>
      <w:bookmarkStart w:id="206" w:name="_Toc5861"/>
      <w:bookmarkStart w:id="207" w:name="_Toc11809"/>
      <w:bookmarkStart w:id="208" w:name="_Toc1171"/>
      <w:bookmarkStart w:id="209" w:name="_Toc2070"/>
      <w:bookmarkStart w:id="210" w:name="_Toc28807"/>
      <w:bookmarkStart w:id="211" w:name="_Toc10287"/>
      <w:r>
        <w:rPr>
          <w:rFonts w:hint="eastAsia" w:ascii="仿宋" w:hAnsi="仿宋" w:eastAsia="仿宋" w:cs="仿宋"/>
          <w:b/>
          <w:bCs/>
          <w:color w:val="000000" w:themeColor="text1"/>
          <w:sz w:val="28"/>
          <w:szCs w:val="28"/>
          <w14:textFill>
            <w14:solidFill>
              <w14:schemeClr w14:val="tx1"/>
            </w14:solidFill>
          </w14:textFill>
        </w:rPr>
        <w:t>五、竞价保证金</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A411962">
      <w:pPr>
        <w:spacing w:line="360" w:lineRule="auto"/>
        <w:ind w:firstLine="560"/>
        <w:rPr>
          <w:rFonts w:hint="eastAsia" w:ascii="仿宋" w:hAnsi="仿宋" w:eastAsia="仿宋" w:cs="仿宋"/>
          <w:color w:val="000000" w:themeColor="text1"/>
          <w:sz w:val="28"/>
          <w:szCs w:val="28"/>
          <w14:textFill>
            <w14:solidFill>
              <w14:schemeClr w14:val="tx1"/>
            </w14:solidFill>
          </w14:textFill>
        </w:rPr>
      </w:pPr>
      <w:bookmarkStart w:id="212" w:name="_Toc27060"/>
      <w:bookmarkStart w:id="213" w:name="_Toc24055"/>
      <w:bookmarkStart w:id="214" w:name="_Toc20488312"/>
      <w:bookmarkStart w:id="215" w:name="_Toc20489868"/>
      <w:bookmarkStart w:id="216" w:name="_Toc20128"/>
      <w:bookmarkStart w:id="217" w:name="_Toc28044"/>
      <w:bookmarkStart w:id="218" w:name="_Toc63600407"/>
      <w:bookmarkStart w:id="219" w:name="_Toc495592637"/>
      <w:bookmarkStart w:id="220" w:name="_Toc16219"/>
      <w:bookmarkStart w:id="221" w:name="_Toc493506283"/>
      <w:bookmarkStart w:id="222" w:name="_Toc7270"/>
      <w:bookmarkStart w:id="223" w:name="_Toc28336"/>
      <w:bookmarkStart w:id="224" w:name="_Toc21831"/>
      <w:bookmarkStart w:id="225" w:name="_Toc15155"/>
      <w:bookmarkStart w:id="226" w:name="_Toc22777"/>
      <w:bookmarkStart w:id="227" w:name="_Toc6675"/>
      <w:bookmarkStart w:id="228" w:name="_Toc29124"/>
      <w:bookmarkStart w:id="229" w:name="_Toc17599"/>
      <w:bookmarkStart w:id="230" w:name="_Toc22773"/>
      <w:r>
        <w:rPr>
          <w:rFonts w:hint="eastAsia" w:ascii="仿宋" w:hAnsi="仿宋" w:eastAsia="仿宋" w:cs="仿宋"/>
          <w:color w:val="000000" w:themeColor="text1"/>
          <w:sz w:val="28"/>
          <w:szCs w:val="28"/>
          <w14:textFill>
            <w14:solidFill>
              <w14:schemeClr w14:val="tx1"/>
            </w14:solidFill>
          </w14:textFill>
        </w:rPr>
        <w:t>无。</w:t>
      </w:r>
    </w:p>
    <w:p w14:paraId="1E77895F">
      <w:pPr>
        <w:spacing w:line="360" w:lineRule="auto"/>
        <w:ind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bookmarkStart w:id="231" w:name="_Toc21902"/>
      <w:r>
        <w:rPr>
          <w:rFonts w:hint="eastAsia" w:ascii="仿宋" w:hAnsi="仿宋" w:eastAsia="仿宋" w:cs="仿宋"/>
          <w:b/>
          <w:bCs/>
          <w:color w:val="000000" w:themeColor="text1"/>
          <w:sz w:val="28"/>
          <w:szCs w:val="28"/>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采购项目需落实的政府采购政策</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ADDB31D">
      <w:pPr>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2D42D0">
      <w:pPr>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（二）按照&lt;财政部 工业和信息化部关于印发《政府采购促进中小企业发展管理办法》的通知&gt;（财库〔2020〕46号）的规定，落实促进中小企业发展政策。</w:t>
      </w:r>
    </w:p>
    <w:p w14:paraId="21691954">
      <w:pPr>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（三）按照《财政部 司法部关于政府采购支持监狱企业发展有关问题的通知》（财库〔2014〕68号）的规定，落实支持监狱企业发展政策。</w:t>
      </w:r>
    </w:p>
    <w:p w14:paraId="57FD7758">
      <w:pPr>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（四）按照《财政部 民政部 中国残疾人联合会关于促进残疾人就业政府采购政策的通知》（财库〔2017〕141号）的规定，落实支持残疾人福利性单位发展政策。</w:t>
      </w:r>
    </w:p>
    <w:p w14:paraId="31D83DEA">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232" w:name="_Toc30509"/>
      <w:bookmarkStart w:id="233" w:name="_Toc3459"/>
      <w:bookmarkStart w:id="234" w:name="_Toc63600408"/>
      <w:bookmarkStart w:id="235" w:name="_Toc29217"/>
      <w:bookmarkStart w:id="236" w:name="_Toc17191"/>
      <w:bookmarkStart w:id="237" w:name="_Toc24948"/>
      <w:bookmarkStart w:id="238" w:name="_Toc10542"/>
      <w:bookmarkStart w:id="239" w:name="_Toc21467"/>
      <w:bookmarkStart w:id="240" w:name="_Toc3508"/>
      <w:bookmarkStart w:id="241" w:name="_Toc20488313"/>
      <w:bookmarkStart w:id="242" w:name="_Toc28451"/>
      <w:bookmarkStart w:id="243" w:name="_Toc12057"/>
      <w:bookmarkStart w:id="244" w:name="_Toc22630"/>
      <w:bookmarkStart w:id="245" w:name="_Toc16266"/>
      <w:bookmarkStart w:id="246" w:name="_Toc20489869"/>
      <w:bookmarkStart w:id="247" w:name="_Toc31457"/>
      <w:bookmarkStart w:id="248" w:name="_Toc24228"/>
      <w:bookmarkStart w:id="249" w:name="_Toc13151"/>
      <w:bookmarkStart w:id="250" w:name="_Toc495592638"/>
      <w:r>
        <w:rPr>
          <w:rFonts w:hint="eastAsia" w:ascii="仿宋" w:hAnsi="仿宋" w:eastAsia="仿宋" w:cs="仿宋"/>
          <w:b/>
          <w:bCs/>
          <w:color w:val="000000" w:themeColor="text1"/>
          <w:sz w:val="28"/>
          <w:szCs w:val="28"/>
          <w14:textFill>
            <w14:solidFill>
              <w14:schemeClr w14:val="tx1"/>
            </w14:solidFill>
          </w14:textFill>
        </w:rPr>
        <w:t>七、竞价有关规定</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FCC16C5">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（一）单位负责人为同一人或者存在直接控股、管理关系的不同竞价人，不得参加同一合同项（包）下的政府采购活动。</w:t>
      </w:r>
    </w:p>
    <w:p w14:paraId="63925875">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（二）为采购项目提供整体设计、规范编制或者监理、检测等服务的竞价人，不得再参加该采购项目的其他采购活动。</w:t>
      </w:r>
    </w:p>
    <w:p w14:paraId="005878FE">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（三）本项目若有更正、补遗文件一律发送至竞价人报名所留邮箱，请各竞价人注意下载；无论竞价人下载与否，均视同竞价人已知晓本项目补遗文件的内容。</w:t>
      </w:r>
    </w:p>
    <w:p w14:paraId="5D265EBF">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（四）超过竞价截止时间递交的竞价文件，恕不接收。</w:t>
      </w:r>
    </w:p>
    <w:p w14:paraId="240DA141">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（五）竞价费用：无论竞价结果如何，竞价人参与本项目竞价的所有费用均应由竞价人自行承担。</w:t>
      </w:r>
    </w:p>
    <w:p w14:paraId="39EFF0A3">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（六）本项目不接受联合体参与竞价。</w:t>
      </w:r>
    </w:p>
    <w:p w14:paraId="44EF75A1">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（七）本项目不接受合同分包。</w:t>
      </w:r>
    </w:p>
    <w:p w14:paraId="31808837">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按照《财政部关于在政府采购活动中查询及使用信用记录有关问题的通知》财库〔2016〕125号，竞价人列入失信被执行人、重大税收违法案件当事人名单、政府采购严重违法失信行为记录名单及其他不符合《中华人民共和国政府采购法》第二十二条规定条件的竞价人，将拒绝其参与政府采购活动。</w:t>
      </w:r>
    </w:p>
    <w:p w14:paraId="2AF680F2">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（九）严禁围标、串标、挂靠、转包和违法分包。</w:t>
      </w:r>
    </w:p>
    <w:p w14:paraId="4DBD8B05">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根据《政府采购促进中小企业发展管理办法》（财库〔2020〕46号）规定，现明确本项目采购标的对应的中小企业划分标准所属行业为：工业。若竞价人未按照竞价邀请书中“采购标的对应的中小企业划分标准所属行业：工业”填写所属行业，或所填写企业类型与相应行业划型标准不一致的，不享受中小企业扶持政策。</w:t>
      </w:r>
    </w:p>
    <w:p w14:paraId="7B8B271D">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251" w:name="_Toc26420"/>
      <w:bookmarkStart w:id="252" w:name="_Toc18472"/>
      <w:bookmarkStart w:id="253" w:name="_Toc21166"/>
      <w:bookmarkStart w:id="254" w:name="_Toc18258"/>
      <w:bookmarkStart w:id="255" w:name="_Toc23841"/>
      <w:bookmarkStart w:id="256" w:name="_Toc63600409"/>
      <w:bookmarkStart w:id="257" w:name="_Toc1564"/>
      <w:bookmarkStart w:id="258" w:name="_Toc1015"/>
      <w:bookmarkStart w:id="259" w:name="_Toc21576"/>
      <w:bookmarkStart w:id="260" w:name="_Toc16732"/>
      <w:bookmarkStart w:id="261" w:name="_Toc10997"/>
      <w:bookmarkStart w:id="262" w:name="_Toc19623"/>
      <w:bookmarkStart w:id="263" w:name="_Toc20488314"/>
      <w:bookmarkStart w:id="264" w:name="_Toc27328"/>
      <w:bookmarkStart w:id="265" w:name="_Toc9193"/>
      <w:bookmarkStart w:id="266" w:name="_Toc409189614"/>
      <w:bookmarkStart w:id="267" w:name="_Toc17887"/>
      <w:bookmarkStart w:id="268" w:name="_Toc20489870"/>
      <w:r>
        <w:rPr>
          <w:rFonts w:hint="eastAsia" w:ascii="仿宋" w:hAnsi="仿宋" w:eastAsia="仿宋" w:cs="仿宋"/>
          <w:b/>
          <w:bCs/>
          <w:color w:val="000000" w:themeColor="text1"/>
          <w:sz w:val="28"/>
          <w:szCs w:val="28"/>
          <w14:textFill>
            <w14:solidFill>
              <w14:schemeClr w14:val="tx1"/>
            </w14:solidFill>
          </w14:textFill>
        </w:rPr>
        <w:t>八、联系方式</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4687DBF">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联系人：魏国庆</w:t>
      </w:r>
    </w:p>
    <w:p w14:paraId="57ACC5C0">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电话：15223217908</w:t>
      </w:r>
    </w:p>
    <w:p w14:paraId="1A2B4DE3">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地址：重庆市万州区申明南路25号</w:t>
      </w:r>
    </w:p>
    <w:p w14:paraId="0A57CFF7">
      <w:pPr>
        <w:spacing w:line="360" w:lineRule="auto"/>
        <w:ind w:firstLine="480"/>
        <w:jc w:val="right"/>
        <w:rPr>
          <w:rFonts w:hint="eastAsia" w:ascii="方正仿宋_GBK" w:hAnsi="宋体" w:eastAsia="方正仿宋_GBK" w:cs="宋体"/>
          <w:color w:val="000000" w:themeColor="text1"/>
          <w:szCs w:val="24"/>
          <w14:textFill>
            <w14:solidFill>
              <w14:schemeClr w14:val="tx1"/>
            </w14:solidFill>
          </w14:textFill>
        </w:rPr>
      </w:pPr>
      <w:bookmarkStart w:id="269" w:name="_Toc2163"/>
      <w:bookmarkStart w:id="270" w:name="_Toc20489876"/>
      <w:bookmarkStart w:id="271" w:name="_Toc421783196"/>
      <w:bookmarkStart w:id="272" w:name="_Toc20488320"/>
    </w:p>
    <w:p w14:paraId="65D1E9AE">
      <w:pPr>
        <w:spacing w:line="360" w:lineRule="auto"/>
        <w:ind w:firstLine="480"/>
        <w:jc w:val="right"/>
        <w:rPr>
          <w:rFonts w:hint="eastAsia" w:ascii="方正仿宋_GBK" w:hAnsi="宋体" w:eastAsia="方正仿宋_GBK" w:cs="宋体"/>
          <w:color w:val="000000" w:themeColor="text1"/>
          <w:szCs w:val="24"/>
          <w14:textFill>
            <w14:solidFill>
              <w14:schemeClr w14:val="tx1"/>
            </w14:solidFill>
          </w14:textFill>
        </w:rPr>
      </w:pPr>
    </w:p>
    <w:p w14:paraId="40FEA5D5">
      <w:pPr>
        <w:spacing w:line="360" w:lineRule="auto"/>
        <w:ind w:firstLine="480"/>
        <w:jc w:val="right"/>
        <w:rPr>
          <w:rFonts w:hint="eastAsia" w:ascii="方正仿宋_GBK" w:hAnsi="宋体" w:eastAsia="方正仿宋_GBK"/>
          <w:color w:val="000000" w:themeColor="text1"/>
          <w:szCs w:val="24"/>
          <w14:textFill>
            <w14:solidFill>
              <w14:schemeClr w14:val="tx1"/>
            </w14:solidFill>
          </w14:textFill>
        </w:rPr>
      </w:pPr>
      <w:r>
        <w:rPr>
          <w:rFonts w:hint="eastAsia" w:ascii="方正仿宋_GBK" w:hAnsi="宋体" w:eastAsia="方正仿宋_GBK" w:cs="宋体"/>
          <w:color w:val="000000" w:themeColor="text1"/>
          <w:szCs w:val="24"/>
          <w14:textFill>
            <w14:solidFill>
              <w14:schemeClr w14:val="tx1"/>
            </w14:solidFill>
          </w14:textFill>
        </w:rPr>
        <w:t>2025年12月23日</w:t>
      </w:r>
    </w:p>
    <w:p w14:paraId="042CAC42">
      <w:pPr>
        <w:spacing w:line="360" w:lineRule="auto"/>
        <w:ind w:firstLine="880"/>
        <w:jc w:val="center"/>
        <w:rPr>
          <w:rFonts w:hint="eastAsia" w:ascii="方正仿宋_GBK" w:hAnsi="宋体" w:eastAsia="方正仿宋_GBK" w:cs="宋体"/>
          <w:b/>
          <w:color w:val="000000" w:themeColor="text1"/>
          <w:sz w:val="44"/>
          <w:szCs w:val="44"/>
          <w14:textFill>
            <w14:solidFill>
              <w14:schemeClr w14:val="tx1"/>
            </w14:solidFill>
          </w14:textFill>
        </w:rPr>
      </w:pPr>
    </w:p>
    <w:p w14:paraId="40D90537">
      <w:pPr>
        <w:spacing w:line="360" w:lineRule="auto"/>
        <w:ind w:firstLine="880"/>
        <w:jc w:val="center"/>
        <w:rPr>
          <w:rFonts w:hint="eastAsia" w:ascii="方正仿宋_GBK" w:hAnsi="宋体" w:eastAsia="方正仿宋_GBK" w:cs="宋体"/>
          <w:b/>
          <w:color w:val="000000" w:themeColor="text1"/>
          <w:sz w:val="44"/>
          <w:szCs w:val="44"/>
          <w14:textFill>
            <w14:solidFill>
              <w14:schemeClr w14:val="tx1"/>
            </w14:solidFill>
          </w14:textFill>
        </w:rPr>
      </w:pPr>
    </w:p>
    <w:p w14:paraId="2ACECE89">
      <w:pPr>
        <w:spacing w:line="360" w:lineRule="auto"/>
        <w:ind w:firstLine="880"/>
        <w:jc w:val="center"/>
        <w:rPr>
          <w:rFonts w:hint="eastAsia" w:ascii="方正仿宋_GBK" w:hAnsi="宋体" w:eastAsia="方正仿宋_GBK" w:cs="宋体"/>
          <w:b/>
          <w:color w:val="000000" w:themeColor="text1"/>
          <w:sz w:val="44"/>
          <w:szCs w:val="44"/>
          <w14:textFill>
            <w14:solidFill>
              <w14:schemeClr w14:val="tx1"/>
            </w14:solidFill>
          </w14:textFill>
        </w:rPr>
      </w:pPr>
    </w:p>
    <w:p w14:paraId="60A9F362">
      <w:pPr>
        <w:spacing w:line="360" w:lineRule="auto"/>
        <w:ind w:firstLine="880"/>
        <w:jc w:val="center"/>
        <w:rPr>
          <w:rFonts w:hint="eastAsia" w:ascii="方正仿宋_GBK" w:hAnsi="宋体" w:eastAsia="方正仿宋_GBK" w:cs="宋体"/>
          <w:b/>
          <w:color w:val="000000" w:themeColor="text1"/>
          <w:sz w:val="44"/>
          <w:szCs w:val="44"/>
          <w14:textFill>
            <w14:solidFill>
              <w14:schemeClr w14:val="tx1"/>
            </w14:solidFill>
          </w14:textFill>
        </w:rPr>
      </w:pPr>
      <w:r>
        <w:rPr>
          <w:rFonts w:hint="eastAsia" w:ascii="方正仿宋_GBK" w:hAnsi="宋体" w:eastAsia="方正仿宋_GBK" w:cs="宋体"/>
          <w:b/>
          <w:color w:val="000000" w:themeColor="text1"/>
          <w:sz w:val="44"/>
          <w:szCs w:val="44"/>
          <w14:textFill>
            <w14:solidFill>
              <w14:schemeClr w14:val="tx1"/>
            </w14:solidFill>
          </w14:textFill>
        </w:rPr>
        <w:t>第二篇  项目技术服务要求</w:t>
      </w:r>
      <w:bookmarkEnd w:id="269"/>
    </w:p>
    <w:p w14:paraId="72EADFB9">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273" w:name="_Toc20936"/>
      <w:bookmarkStart w:id="274" w:name="_Toc61417555"/>
      <w:bookmarkStart w:id="275" w:name="_Toc151990942"/>
      <w:bookmarkStart w:id="276" w:name="_Toc7874"/>
      <w:bookmarkStart w:id="277" w:name="_Toc677"/>
      <w:bookmarkStart w:id="278" w:name="_Toc10646"/>
      <w:bookmarkStart w:id="279" w:name="_Toc28974"/>
      <w:bookmarkStart w:id="280" w:name="_Toc9739"/>
      <w:bookmarkStart w:id="281" w:name="_Toc12866"/>
      <w:bookmarkStart w:id="282" w:name="_Toc1828"/>
      <w:bookmarkStart w:id="283" w:name="_Toc16628"/>
      <w:bookmarkStart w:id="284" w:name="_Toc25622"/>
      <w:bookmarkStart w:id="285" w:name="_Toc22564"/>
      <w:bookmarkStart w:id="286" w:name="_Toc25042"/>
      <w:bookmarkStart w:id="287" w:name="_Toc63600413"/>
      <w:bookmarkStart w:id="288" w:name="_Toc5392"/>
      <w:bookmarkStart w:id="289" w:name="_Toc17404"/>
      <w:bookmarkStart w:id="290" w:name="_Toc24001"/>
      <w:bookmarkStart w:id="291" w:name="_Toc8834"/>
      <w:bookmarkStart w:id="292" w:name="_Toc8003"/>
      <w:bookmarkStart w:id="293" w:name="_Toc23514"/>
      <w:bookmarkStart w:id="294" w:name="_Toc12592"/>
      <w:bookmarkStart w:id="295" w:name="_Toc28221"/>
      <w:bookmarkStart w:id="296" w:name="_Toc29395"/>
      <w:r>
        <w:rPr>
          <w:rFonts w:ascii="方正仿宋_GBK" w:hAnsi="宋体" w:eastAsia="方正仿宋_GBK" w:cs="宋体"/>
          <w:b/>
          <w:bCs/>
          <w:color w:val="000000" w:themeColor="text1"/>
          <w:szCs w:val="24"/>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项目概述</w:t>
      </w:r>
      <w:bookmarkEnd w:id="273"/>
      <w:bookmarkEnd w:id="274"/>
      <w:bookmarkEnd w:id="275"/>
      <w:bookmarkEnd w:id="276"/>
    </w:p>
    <w:p w14:paraId="3795B657">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项目名称：二车间绞肉机及配套设备采购项目</w:t>
      </w:r>
    </w:p>
    <w:p w14:paraId="05810472">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项目建设单位：重庆市农产品集团食品科技有限公司</w:t>
      </w:r>
    </w:p>
    <w:p w14:paraId="41943EEA">
      <w:pPr>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项目建设地点：重庆市万州区申明南路25号</w:t>
      </w:r>
    </w:p>
    <w:bookmarkEnd w:id="277"/>
    <w:p w14:paraId="6F3E6501">
      <w:pPr>
        <w:numPr>
          <w:ilvl w:val="0"/>
          <w:numId w:val="1"/>
        </w:num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bookmarkStart w:id="297" w:name="_Toc23615"/>
      <w:r>
        <w:rPr>
          <w:rFonts w:hint="eastAsia" w:ascii="仿宋" w:hAnsi="仿宋" w:eastAsia="仿宋" w:cs="仿宋"/>
          <w:b/>
          <w:bCs/>
          <w:color w:val="000000" w:themeColor="text1"/>
          <w:sz w:val="28"/>
          <w:szCs w:val="28"/>
          <w14:textFill>
            <w14:solidFill>
              <w14:schemeClr w14:val="tx1"/>
            </w14:solidFill>
          </w14:textFill>
        </w:rPr>
        <w:t>采购项目内容及参数要求</w:t>
      </w:r>
    </w:p>
    <w:tbl>
      <w:tblPr>
        <w:tblStyle w:val="33"/>
        <w:tblW w:w="9458" w:type="dxa"/>
        <w:tblInd w:w="93" w:type="dxa"/>
        <w:tblLayout w:type="fixed"/>
        <w:tblCellMar>
          <w:top w:w="0" w:type="dxa"/>
          <w:left w:w="108" w:type="dxa"/>
          <w:bottom w:w="0" w:type="dxa"/>
          <w:right w:w="108" w:type="dxa"/>
        </w:tblCellMar>
      </w:tblPr>
      <w:tblGrid>
        <w:gridCol w:w="806"/>
        <w:gridCol w:w="990"/>
        <w:gridCol w:w="5212"/>
        <w:gridCol w:w="538"/>
        <w:gridCol w:w="675"/>
        <w:gridCol w:w="1237"/>
      </w:tblGrid>
      <w:tr w14:paraId="0FEE510C">
        <w:tblPrEx>
          <w:tblCellMar>
            <w:top w:w="0" w:type="dxa"/>
            <w:left w:w="108" w:type="dxa"/>
            <w:bottom w:w="0" w:type="dxa"/>
            <w:right w:w="108" w:type="dxa"/>
          </w:tblCellMar>
        </w:tblPrEx>
        <w:trPr>
          <w:trHeight w:val="1104"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47B5DAF0">
            <w:pPr>
              <w:widowControl/>
              <w:ind w:firstLine="0" w:firstLineChars="0"/>
              <w:jc w:val="center"/>
              <w:textAlignment w:val="center"/>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序号</w:t>
            </w:r>
          </w:p>
        </w:tc>
        <w:tc>
          <w:tcPr>
            <w:tcW w:w="990" w:type="dxa"/>
            <w:tcBorders>
              <w:top w:val="single" w:color="000000" w:sz="4" w:space="0"/>
              <w:left w:val="single" w:color="000000" w:sz="4" w:space="0"/>
              <w:bottom w:val="single" w:color="000000" w:sz="4" w:space="0"/>
              <w:right w:val="single" w:color="000000" w:sz="4" w:space="0"/>
            </w:tcBorders>
            <w:vAlign w:val="center"/>
          </w:tcPr>
          <w:p w14:paraId="269D0188">
            <w:pPr>
              <w:widowControl/>
              <w:ind w:firstLine="0" w:firstLineChars="0"/>
              <w:jc w:val="center"/>
              <w:textAlignment w:val="center"/>
              <w:rPr>
                <w:rFonts w:hint="eastAsia" w:ascii="方正仿宋_GBK" w:hAnsi="方正仿宋_GBK" w:eastAsia="方正仿宋_GBK" w:cs="方正仿宋_GBK"/>
                <w:b/>
                <w:bCs/>
                <w:color w:val="000000" w:themeColor="text1"/>
                <w:kern w:val="0"/>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项 目</w:t>
            </w:r>
          </w:p>
          <w:p w14:paraId="705077CC">
            <w:pPr>
              <w:widowControl/>
              <w:ind w:firstLine="0" w:firstLineChars="0"/>
              <w:jc w:val="center"/>
              <w:textAlignment w:val="center"/>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名 称</w:t>
            </w:r>
          </w:p>
        </w:tc>
        <w:tc>
          <w:tcPr>
            <w:tcW w:w="5212" w:type="dxa"/>
            <w:tcBorders>
              <w:top w:val="single" w:color="000000" w:sz="4" w:space="0"/>
              <w:left w:val="single" w:color="000000" w:sz="4" w:space="0"/>
              <w:bottom w:val="single" w:color="000000" w:sz="4" w:space="0"/>
              <w:right w:val="single" w:color="000000" w:sz="4" w:space="0"/>
            </w:tcBorders>
            <w:vAlign w:val="center"/>
          </w:tcPr>
          <w:p w14:paraId="5A10D28E">
            <w:pPr>
              <w:widowControl/>
              <w:ind w:firstLine="0" w:firstLineChars="0"/>
              <w:jc w:val="center"/>
              <w:textAlignment w:val="center"/>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相关技术要求</w:t>
            </w:r>
          </w:p>
        </w:tc>
        <w:tc>
          <w:tcPr>
            <w:tcW w:w="538" w:type="dxa"/>
            <w:tcBorders>
              <w:top w:val="single" w:color="000000" w:sz="4" w:space="0"/>
              <w:left w:val="single" w:color="000000" w:sz="4" w:space="0"/>
              <w:bottom w:val="single" w:color="000000" w:sz="4" w:space="0"/>
              <w:right w:val="single" w:color="000000" w:sz="4" w:space="0"/>
            </w:tcBorders>
            <w:vAlign w:val="center"/>
          </w:tcPr>
          <w:p w14:paraId="526A7EC1">
            <w:pPr>
              <w:widowControl/>
              <w:ind w:firstLine="0" w:firstLineChars="0"/>
              <w:jc w:val="left"/>
              <w:textAlignment w:val="center"/>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A8DA4E7">
            <w:pPr>
              <w:widowControl/>
              <w:ind w:firstLine="0" w:firstLineChars="0"/>
              <w:jc w:val="center"/>
              <w:textAlignment w:val="center"/>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数量</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06FC1640">
            <w:pPr>
              <w:widowControl/>
              <w:ind w:firstLine="0" w:firstLineChars="0"/>
              <w:jc w:val="center"/>
              <w:textAlignment w:val="center"/>
              <w:rPr>
                <w:rFonts w:hint="eastAsia" w:ascii="方正仿宋_GBK" w:hAnsi="方正仿宋_GBK" w:eastAsia="方正仿宋_GBK" w:cs="方正仿宋_GBK"/>
                <w:b/>
                <w:bCs/>
                <w:color w:val="000000" w:themeColor="text1"/>
                <w:kern w:val="0"/>
                <w:szCs w:val="24"/>
                <w14:textFill>
                  <w14:solidFill>
                    <w14:schemeClr w14:val="tx1"/>
                  </w14:solidFill>
                </w14:textFill>
              </w:rPr>
            </w:pPr>
            <w:r>
              <w:rPr>
                <w:rFonts w:hint="eastAsia" w:ascii="方正仿宋_GBK" w:hAnsi="方正仿宋_GBK" w:eastAsia="方正仿宋_GBK" w:cs="方正仿宋_GBK"/>
                <w:b/>
                <w:bCs/>
                <w:color w:val="000000" w:themeColor="text1"/>
                <w:kern w:val="0"/>
                <w:szCs w:val="24"/>
                <w14:textFill>
                  <w14:solidFill>
                    <w14:schemeClr w14:val="tx1"/>
                  </w14:solidFill>
                </w14:textFill>
              </w:rPr>
              <w:t>备注</w:t>
            </w:r>
          </w:p>
        </w:tc>
      </w:tr>
      <w:tr w14:paraId="543B335F">
        <w:tblPrEx>
          <w:tblCellMar>
            <w:top w:w="0" w:type="dxa"/>
            <w:left w:w="108" w:type="dxa"/>
            <w:bottom w:w="0" w:type="dxa"/>
            <w:right w:w="108" w:type="dxa"/>
          </w:tblCellMar>
        </w:tblPrEx>
        <w:trPr>
          <w:trHeight w:val="1743"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44A7EAE3">
            <w:pPr>
              <w:widowControl/>
              <w:spacing w:line="320" w:lineRule="exact"/>
              <w:ind w:firstLine="0" w:firstLineChars="0"/>
              <w:jc w:val="center"/>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w:t>
            </w:r>
          </w:p>
        </w:tc>
        <w:tc>
          <w:tcPr>
            <w:tcW w:w="990" w:type="dxa"/>
            <w:tcBorders>
              <w:top w:val="single" w:color="000000" w:sz="4" w:space="0"/>
              <w:left w:val="single" w:color="000000" w:sz="4" w:space="0"/>
              <w:bottom w:val="single" w:color="000000" w:sz="4" w:space="0"/>
              <w:right w:val="single" w:color="000000" w:sz="4" w:space="0"/>
            </w:tcBorders>
            <w:vAlign w:val="center"/>
          </w:tcPr>
          <w:p w14:paraId="78EAE2C6">
            <w:pPr>
              <w:widowControl/>
              <w:spacing w:line="320" w:lineRule="exact"/>
              <w:ind w:firstLine="0" w:firstLineChars="0"/>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绞肉机</w:t>
            </w:r>
          </w:p>
        </w:tc>
        <w:tc>
          <w:tcPr>
            <w:tcW w:w="5212" w:type="dxa"/>
            <w:tcBorders>
              <w:top w:val="single" w:color="000000" w:sz="4" w:space="0"/>
              <w:left w:val="single" w:color="000000" w:sz="4" w:space="0"/>
              <w:bottom w:val="single" w:color="000000" w:sz="4" w:space="0"/>
              <w:right w:val="single" w:color="000000" w:sz="4" w:space="0"/>
            </w:tcBorders>
            <w:vAlign w:val="center"/>
          </w:tcPr>
          <w:p w14:paraId="660ABDBD">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1.设备参数：双速、双电机；</w:t>
            </w:r>
          </w:p>
          <w:p w14:paraId="451DE695">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2.送料转速：16-32mp；</w:t>
            </w:r>
          </w:p>
          <w:p w14:paraId="2723C3B0">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3.出料转速：260-130mp；</w:t>
            </w:r>
          </w:p>
          <w:p w14:paraId="2216FD72">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4.生产能力：鲜肉2吨/小时，冻肉1.2吨/小时。</w:t>
            </w:r>
          </w:p>
          <w:p w14:paraId="6705D554">
            <w:pPr>
              <w:spacing w:line="320" w:lineRule="exact"/>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5D5EC54">
            <w:pPr>
              <w:widowControl/>
              <w:spacing w:line="320" w:lineRule="exact"/>
              <w:ind w:firstLine="0" w:firstLineChars="0"/>
              <w:jc w:val="left"/>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5AD8332C">
            <w:pPr>
              <w:spacing w:line="320" w:lineRule="exact"/>
              <w:ind w:firstLine="0"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333004F6">
            <w:pPr>
              <w:ind w:firstLine="44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09DA9F19">
        <w:tblPrEx>
          <w:tblCellMar>
            <w:top w:w="0" w:type="dxa"/>
            <w:left w:w="108" w:type="dxa"/>
            <w:bottom w:w="0" w:type="dxa"/>
            <w:right w:w="108" w:type="dxa"/>
          </w:tblCellMar>
        </w:tblPrEx>
        <w:trPr>
          <w:trHeight w:val="1538"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7E2EB3D3">
            <w:pPr>
              <w:widowControl/>
              <w:spacing w:line="320" w:lineRule="exact"/>
              <w:ind w:firstLine="0" w:firstLineChars="0"/>
              <w:jc w:val="center"/>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2</w:t>
            </w:r>
          </w:p>
        </w:tc>
        <w:tc>
          <w:tcPr>
            <w:tcW w:w="990" w:type="dxa"/>
            <w:tcBorders>
              <w:top w:val="single" w:color="000000" w:sz="4" w:space="0"/>
              <w:left w:val="single" w:color="000000" w:sz="4" w:space="0"/>
              <w:bottom w:val="single" w:color="000000" w:sz="4" w:space="0"/>
              <w:right w:val="single" w:color="000000" w:sz="4" w:space="0"/>
            </w:tcBorders>
            <w:vAlign w:val="center"/>
          </w:tcPr>
          <w:p w14:paraId="60B5B091">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辅助设备立式提升机</w:t>
            </w:r>
          </w:p>
        </w:tc>
        <w:tc>
          <w:tcPr>
            <w:tcW w:w="5212" w:type="dxa"/>
            <w:tcBorders>
              <w:top w:val="single" w:color="000000" w:sz="4" w:space="0"/>
              <w:left w:val="single" w:color="000000" w:sz="4" w:space="0"/>
              <w:bottom w:val="single" w:color="000000" w:sz="4" w:space="0"/>
              <w:right w:val="single" w:color="000000" w:sz="4" w:space="0"/>
            </w:tcBorders>
            <w:vAlign w:val="center"/>
          </w:tcPr>
          <w:p w14:paraId="3543A1E3">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1.提升重量＞200kg；</w:t>
            </w:r>
          </w:p>
          <w:p w14:paraId="7EA65AED">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2.提升高度＞1.9米；</w:t>
            </w:r>
          </w:p>
          <w:p w14:paraId="4EFB31A7">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3.提升速度3m/min；</w:t>
            </w:r>
          </w:p>
          <w:p w14:paraId="15ACC1BE">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4.全不锈钢材料。</w:t>
            </w:r>
          </w:p>
          <w:p w14:paraId="1F9142FC">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noWrap/>
            <w:vAlign w:val="center"/>
          </w:tcPr>
          <w:p w14:paraId="22C3706D">
            <w:pPr>
              <w:widowControl/>
              <w:spacing w:line="320" w:lineRule="exact"/>
              <w:ind w:firstLine="0" w:firstLineChars="0"/>
              <w:jc w:val="left"/>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台</w:t>
            </w:r>
          </w:p>
        </w:tc>
        <w:tc>
          <w:tcPr>
            <w:tcW w:w="675" w:type="dxa"/>
            <w:tcBorders>
              <w:top w:val="single" w:color="000000" w:sz="4" w:space="0"/>
              <w:left w:val="single" w:color="000000" w:sz="4" w:space="0"/>
              <w:bottom w:val="single" w:color="000000" w:sz="4" w:space="0"/>
              <w:right w:val="single" w:color="000000" w:sz="4" w:space="0"/>
            </w:tcBorders>
            <w:vAlign w:val="center"/>
          </w:tcPr>
          <w:p w14:paraId="3EBCC5E3">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6B006975">
            <w:pPr>
              <w:widowControl/>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r>
      <w:tr w14:paraId="63A2FABA">
        <w:tblPrEx>
          <w:tblCellMar>
            <w:top w:w="0" w:type="dxa"/>
            <w:left w:w="108" w:type="dxa"/>
            <w:bottom w:w="0" w:type="dxa"/>
            <w:right w:w="108" w:type="dxa"/>
          </w:tblCellMar>
        </w:tblPrEx>
        <w:trPr>
          <w:trHeight w:val="2518" w:hRule="atLeast"/>
        </w:trPr>
        <w:tc>
          <w:tcPr>
            <w:tcW w:w="806" w:type="dxa"/>
            <w:tcBorders>
              <w:top w:val="single" w:color="000000" w:sz="4" w:space="0"/>
              <w:left w:val="single" w:color="000000" w:sz="4" w:space="0"/>
              <w:bottom w:val="single" w:color="000000" w:sz="4" w:space="0"/>
              <w:right w:val="single" w:color="000000" w:sz="4" w:space="0"/>
            </w:tcBorders>
            <w:vAlign w:val="center"/>
          </w:tcPr>
          <w:p w14:paraId="231643A5">
            <w:pPr>
              <w:widowControl/>
              <w:spacing w:line="320" w:lineRule="exact"/>
              <w:ind w:firstLine="0" w:firstLineChars="0"/>
              <w:jc w:val="center"/>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w:t>
            </w:r>
          </w:p>
        </w:tc>
        <w:tc>
          <w:tcPr>
            <w:tcW w:w="990" w:type="dxa"/>
            <w:tcBorders>
              <w:top w:val="single" w:color="000000" w:sz="4" w:space="0"/>
              <w:left w:val="single" w:color="000000" w:sz="4" w:space="0"/>
              <w:bottom w:val="single" w:color="000000" w:sz="4" w:space="0"/>
              <w:right w:val="single" w:color="000000" w:sz="4" w:space="0"/>
            </w:tcBorders>
            <w:vAlign w:val="center"/>
          </w:tcPr>
          <w:p w14:paraId="282DE84F">
            <w:pPr>
              <w:widowControl/>
              <w:spacing w:line="320" w:lineRule="exact"/>
              <w:ind w:firstLine="0" w:firstLineChars="0"/>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刀具</w:t>
            </w:r>
          </w:p>
        </w:tc>
        <w:tc>
          <w:tcPr>
            <w:tcW w:w="5212" w:type="dxa"/>
            <w:tcBorders>
              <w:top w:val="single" w:color="000000" w:sz="4" w:space="0"/>
              <w:left w:val="single" w:color="000000" w:sz="4" w:space="0"/>
              <w:bottom w:val="single" w:color="000000" w:sz="4" w:space="0"/>
              <w:right w:val="single" w:color="000000" w:sz="4" w:space="0"/>
            </w:tcBorders>
            <w:vAlign w:val="center"/>
          </w:tcPr>
          <w:p w14:paraId="0435F09A">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绞刀2把；</w:t>
            </w:r>
          </w:p>
          <w:p w14:paraId="245BE584">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12mm孔板2个；</w:t>
            </w:r>
          </w:p>
          <w:p w14:paraId="7480BAD0">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6mm孔板2个；</w:t>
            </w:r>
          </w:p>
          <w:p w14:paraId="098BB0CE">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三孔预切板1个；</w:t>
            </w:r>
          </w:p>
          <w:p w14:paraId="4F0A9066">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去筋膜刀1把；</w:t>
            </w:r>
          </w:p>
          <w:p w14:paraId="6352706B">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去筋膜刀架1把；</w:t>
            </w:r>
          </w:p>
          <w:p w14:paraId="6CAFB121">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去筋膜刀片4把；</w:t>
            </w:r>
          </w:p>
          <w:p w14:paraId="2B2B2D49">
            <w:pPr>
              <w:widowControl/>
              <w:spacing w:line="320" w:lineRule="exact"/>
              <w:ind w:firstLine="0" w:firstLineChars="0"/>
              <w:textAlignment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去筋膜支架1个。</w:t>
            </w:r>
          </w:p>
          <w:p w14:paraId="32750B62">
            <w:pPr>
              <w:widowControl/>
              <w:spacing w:line="320" w:lineRule="exact"/>
              <w:ind w:firstLine="440"/>
              <w:jc w:val="left"/>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noWrap/>
            <w:vAlign w:val="center"/>
          </w:tcPr>
          <w:p w14:paraId="4F427B7A">
            <w:pPr>
              <w:widowControl/>
              <w:spacing w:line="320" w:lineRule="exact"/>
              <w:ind w:firstLine="0" w:firstLineChars="0"/>
              <w:jc w:val="left"/>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套</w:t>
            </w:r>
          </w:p>
        </w:tc>
        <w:tc>
          <w:tcPr>
            <w:tcW w:w="675" w:type="dxa"/>
            <w:tcBorders>
              <w:top w:val="single" w:color="000000" w:sz="4" w:space="0"/>
              <w:left w:val="single" w:color="000000" w:sz="4" w:space="0"/>
              <w:bottom w:val="single" w:color="000000" w:sz="4" w:space="0"/>
              <w:right w:val="single" w:color="000000" w:sz="4" w:space="0"/>
            </w:tcBorders>
            <w:vAlign w:val="center"/>
          </w:tcPr>
          <w:p w14:paraId="4487DF19">
            <w:pPr>
              <w:spacing w:line="320" w:lineRule="exact"/>
              <w:ind w:firstLine="0"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p>
        </w:tc>
        <w:tc>
          <w:tcPr>
            <w:tcW w:w="1237" w:type="dxa"/>
            <w:tcBorders>
              <w:top w:val="single" w:color="000000" w:sz="4" w:space="0"/>
              <w:left w:val="single" w:color="000000" w:sz="4" w:space="0"/>
              <w:bottom w:val="single" w:color="000000" w:sz="4" w:space="0"/>
              <w:right w:val="single" w:color="000000" w:sz="4" w:space="0"/>
            </w:tcBorders>
            <w:vAlign w:val="center"/>
          </w:tcPr>
          <w:p w14:paraId="2B868B83">
            <w:pPr>
              <w:ind w:firstLine="44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bl>
    <w:p w14:paraId="7E799F1D">
      <w:pPr>
        <w:spacing w:line="360" w:lineRule="auto"/>
        <w:ind w:firstLine="0" w:firstLineChars="0"/>
        <w:rPr>
          <w:rFonts w:hint="eastAsia" w:ascii="仿宋" w:hAnsi="仿宋" w:eastAsia="仿宋" w:cs="仿宋"/>
          <w:b/>
          <w:bCs/>
          <w:color w:val="000000" w:themeColor="text1"/>
          <w:sz w:val="28"/>
          <w:szCs w:val="28"/>
          <w14:textFill>
            <w14:solidFill>
              <w14:schemeClr w14:val="tx1"/>
            </w14:solidFill>
          </w14:textFill>
        </w:rPr>
      </w:pPr>
    </w:p>
    <w:bookmarkEnd w:id="278"/>
    <w:bookmarkEnd w:id="279"/>
    <w:bookmarkEnd w:id="280"/>
    <w:bookmarkEnd w:id="281"/>
    <w:bookmarkEnd w:id="282"/>
    <w:bookmarkEnd w:id="297"/>
    <w:p w14:paraId="1ADA0ACE">
      <w:pPr>
        <w:spacing w:line="360" w:lineRule="auto"/>
        <w:ind w:firstLine="0" w:firstLineChars="0"/>
        <w:jc w:val="center"/>
        <w:outlineLvl w:val="0"/>
        <w:rPr>
          <w:rFonts w:hint="eastAsia" w:ascii="方正仿宋_GBK" w:hAnsi="宋体" w:eastAsia="方正仿宋_GBK" w:cs="宋体"/>
          <w:b/>
          <w:color w:val="000000" w:themeColor="text1"/>
          <w:sz w:val="32"/>
          <w:szCs w:val="22"/>
          <w14:textFill>
            <w14:solidFill>
              <w14:schemeClr w14:val="tx1"/>
            </w14:solidFill>
          </w14:textFill>
        </w:rPr>
      </w:pPr>
    </w:p>
    <w:p w14:paraId="39DD50A3">
      <w:pPr>
        <w:spacing w:line="360" w:lineRule="auto"/>
        <w:ind w:firstLine="0" w:firstLineChars="0"/>
        <w:jc w:val="center"/>
        <w:outlineLvl w:val="0"/>
        <w:rPr>
          <w:rFonts w:hint="eastAsia" w:ascii="方正仿宋_GBK" w:hAnsi="宋体" w:eastAsia="方正仿宋_GBK" w:cs="宋体"/>
          <w:b/>
          <w:color w:val="000000" w:themeColor="text1"/>
          <w:sz w:val="32"/>
          <w:szCs w:val="22"/>
          <w14:textFill>
            <w14:solidFill>
              <w14:schemeClr w14:val="tx1"/>
            </w14:solidFill>
          </w14:textFill>
        </w:rPr>
      </w:pPr>
    </w:p>
    <w:p w14:paraId="7A6B41D9">
      <w:pPr>
        <w:spacing w:line="360" w:lineRule="auto"/>
        <w:ind w:firstLine="0" w:firstLineChars="0"/>
        <w:jc w:val="center"/>
        <w:outlineLvl w:val="0"/>
        <w:rPr>
          <w:rFonts w:hint="eastAsia" w:ascii="方正仿宋_GBK" w:hAnsi="宋体" w:eastAsia="方正仿宋_GBK" w:cs="宋体"/>
          <w:b/>
          <w:color w:val="000000" w:themeColor="text1"/>
          <w:sz w:val="32"/>
          <w:szCs w:val="22"/>
          <w14:textFill>
            <w14:solidFill>
              <w14:schemeClr w14:val="tx1"/>
            </w14:solidFill>
          </w14:textFill>
        </w:rPr>
      </w:pPr>
    </w:p>
    <w:p w14:paraId="7FCA0A5A">
      <w:pPr>
        <w:spacing w:line="360" w:lineRule="auto"/>
        <w:ind w:firstLine="0" w:firstLineChars="0"/>
        <w:jc w:val="center"/>
        <w:outlineLvl w:val="0"/>
        <w:rPr>
          <w:rFonts w:hint="eastAsia" w:ascii="方正仿宋_GBK" w:hAnsi="宋体" w:eastAsia="方正仿宋_GBK" w:cs="宋体"/>
          <w:b/>
          <w:color w:val="000000" w:themeColor="text1"/>
          <w:sz w:val="32"/>
          <w:szCs w:val="22"/>
          <w14:textFill>
            <w14:solidFill>
              <w14:schemeClr w14:val="tx1"/>
            </w14:solidFill>
          </w14:textFill>
        </w:rPr>
      </w:pPr>
    </w:p>
    <w:p w14:paraId="04FC2DE3">
      <w:pPr>
        <w:spacing w:line="360" w:lineRule="auto"/>
        <w:ind w:firstLine="0" w:firstLineChars="0"/>
        <w:jc w:val="center"/>
        <w:outlineLvl w:val="0"/>
        <w:rPr>
          <w:rFonts w:hint="eastAsia" w:ascii="方正仿宋_GBK" w:eastAsia="方正仿宋_GBK"/>
          <w:b/>
          <w:color w:val="000000" w:themeColor="text1"/>
          <w:sz w:val="32"/>
          <w:szCs w:val="22"/>
          <w14:textFill>
            <w14:solidFill>
              <w14:schemeClr w14:val="tx1"/>
            </w14:solidFill>
          </w14:textFill>
        </w:rPr>
      </w:pPr>
      <w:r>
        <w:rPr>
          <w:rFonts w:hint="eastAsia" w:ascii="方正仿宋_GBK" w:hAnsi="宋体" w:eastAsia="方正仿宋_GBK" w:cs="宋体"/>
          <w:b/>
          <w:color w:val="000000" w:themeColor="text1"/>
          <w:sz w:val="32"/>
          <w:szCs w:val="22"/>
          <w14:textFill>
            <w14:solidFill>
              <w14:schemeClr w14:val="tx1"/>
            </w14:solidFill>
          </w14:textFill>
        </w:rPr>
        <w:t>第三篇  项目商务要求</w:t>
      </w:r>
      <w:bookmarkEnd w:id="283"/>
      <w:bookmarkEnd w:id="284"/>
      <w:bookmarkEnd w:id="285"/>
      <w:bookmarkEnd w:id="286"/>
      <w:bookmarkEnd w:id="287"/>
    </w:p>
    <w:bookmarkEnd w:id="270"/>
    <w:bookmarkEnd w:id="271"/>
    <w:bookmarkEnd w:id="272"/>
    <w:bookmarkEnd w:id="288"/>
    <w:bookmarkEnd w:id="289"/>
    <w:bookmarkEnd w:id="290"/>
    <w:bookmarkEnd w:id="291"/>
    <w:bookmarkEnd w:id="292"/>
    <w:bookmarkEnd w:id="293"/>
    <w:bookmarkEnd w:id="294"/>
    <w:bookmarkEnd w:id="295"/>
    <w:bookmarkEnd w:id="296"/>
    <w:p w14:paraId="5979156F">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298" w:name="_Toc6086"/>
      <w:bookmarkStart w:id="299" w:name="_Toc63600414"/>
      <w:bookmarkStart w:id="300" w:name="_Toc20488321"/>
      <w:bookmarkStart w:id="301" w:name="_Toc13360"/>
      <w:bookmarkStart w:id="302" w:name="_Toc20489877"/>
      <w:bookmarkStart w:id="303" w:name="_Toc267320049"/>
      <w:bookmarkStart w:id="304" w:name="_Toc14448"/>
      <w:bookmarkStart w:id="305" w:name="_Toc31526"/>
      <w:bookmarkStart w:id="306" w:name="_Toc13497"/>
      <w:bookmarkStart w:id="307" w:name="_Toc3156"/>
      <w:bookmarkStart w:id="308" w:name="_Toc27749"/>
      <w:bookmarkStart w:id="309" w:name="_Toc3303"/>
      <w:bookmarkStart w:id="310" w:name="_Toc11490"/>
      <w:bookmarkStart w:id="311" w:name="_Toc384905065"/>
      <w:bookmarkStart w:id="312" w:name="_Toc435689002"/>
      <w:bookmarkStart w:id="313" w:name="_Toc409189624"/>
      <w:r>
        <w:rPr>
          <w:rFonts w:hint="eastAsia" w:ascii="仿宋" w:hAnsi="仿宋" w:eastAsia="仿宋" w:cs="仿宋"/>
          <w:color w:val="000000" w:themeColor="text1"/>
          <w:szCs w:val="28"/>
          <w14:textFill>
            <w14:solidFill>
              <w14:schemeClr w14:val="tx1"/>
            </w14:solidFill>
          </w14:textFill>
        </w:rPr>
        <w:t>一、</w:t>
      </w:r>
      <w:bookmarkEnd w:id="298"/>
      <w:bookmarkEnd w:id="299"/>
      <w:bookmarkEnd w:id="300"/>
      <w:bookmarkEnd w:id="301"/>
      <w:bookmarkEnd w:id="302"/>
      <w:bookmarkEnd w:id="303"/>
      <w:bookmarkEnd w:id="304"/>
      <w:bookmarkEnd w:id="305"/>
      <w:bookmarkEnd w:id="306"/>
      <w:bookmarkEnd w:id="307"/>
      <w:bookmarkEnd w:id="308"/>
      <w:bookmarkEnd w:id="309"/>
      <w:r>
        <w:rPr>
          <w:rFonts w:hint="eastAsia" w:ascii="仿宋" w:hAnsi="仿宋" w:eastAsia="仿宋" w:cs="仿宋"/>
          <w:color w:val="000000" w:themeColor="text1"/>
          <w:szCs w:val="28"/>
          <w14:textFill>
            <w14:solidFill>
              <w14:schemeClr w14:val="tx1"/>
            </w14:solidFill>
          </w14:textFill>
        </w:rPr>
        <w:t>工期、服务地点、质量要求及验收方式</w:t>
      </w:r>
      <w:bookmarkEnd w:id="310"/>
    </w:p>
    <w:p w14:paraId="15383777">
      <w:pPr>
        <w:snapToGrid w:val="0"/>
        <w:ind w:firstLine="560"/>
        <w:rPr>
          <w:rFonts w:hint="eastAsia" w:ascii="仿宋" w:hAnsi="仿宋" w:eastAsia="仿宋" w:cs="仿宋"/>
          <w:color w:val="000000" w:themeColor="text1"/>
          <w:sz w:val="28"/>
          <w:szCs w:val="28"/>
          <w14:textFill>
            <w14:solidFill>
              <w14:schemeClr w14:val="tx1"/>
            </w14:solidFill>
          </w14:textFill>
        </w:rPr>
      </w:pPr>
      <w:bookmarkStart w:id="314" w:name="_Toc22188"/>
      <w:bookmarkStart w:id="315" w:name="_Toc31981"/>
      <w:bookmarkStart w:id="316" w:name="_Toc24605"/>
      <w:bookmarkStart w:id="317" w:name="_Toc31294"/>
      <w:bookmarkStart w:id="318" w:name="_Toc1847"/>
      <w:bookmarkStart w:id="319" w:name="_Toc63600415"/>
      <w:bookmarkStart w:id="320" w:name="_Toc3823"/>
      <w:bookmarkStart w:id="321" w:name="_Toc840"/>
      <w:bookmarkStart w:id="322" w:name="_Toc2854"/>
      <w:bookmarkStart w:id="323" w:name="_Toc21633"/>
      <w:bookmarkStart w:id="324" w:name="_Toc28205"/>
      <w:bookmarkStart w:id="325" w:name="_Toc18787"/>
      <w:r>
        <w:rPr>
          <w:rFonts w:hint="eastAsia" w:ascii="仿宋" w:hAnsi="仿宋" w:eastAsia="仿宋" w:cs="仿宋"/>
          <w:color w:val="000000" w:themeColor="text1"/>
          <w:sz w:val="28"/>
          <w:szCs w:val="28"/>
          <w14:textFill>
            <w14:solidFill>
              <w14:schemeClr w14:val="tx1"/>
            </w14:solidFill>
          </w14:textFill>
        </w:rPr>
        <w:t>（一）工期要求</w:t>
      </w:r>
    </w:p>
    <w:p w14:paraId="28B4988A">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合同签订后20日历天内完成整套设备的设计、设备加工制作、供货及安装调试，并交付比价人使用。</w:t>
      </w:r>
    </w:p>
    <w:p w14:paraId="334CA479">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（二）服务地点</w:t>
      </w:r>
    </w:p>
    <w:p w14:paraId="1E4E9498">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比价人指定地点。</w:t>
      </w:r>
    </w:p>
    <w:p w14:paraId="47A74E81">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（三）质量要求</w:t>
      </w:r>
    </w:p>
    <w:p w14:paraId="787B890C">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特殊设备满足政府部门监管要求，配套设施设备达到国家或行业标准，满足生产需求。</w:t>
      </w:r>
    </w:p>
    <w:p w14:paraId="36457790">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（四）验收方式</w:t>
      </w:r>
    </w:p>
    <w:p w14:paraId="22089FDD">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1、验收单位：由比价人负责组织验收。</w:t>
      </w:r>
    </w:p>
    <w:p w14:paraId="3FE99EE0">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2、验收标准：按照国家及行业相关标准、竞价文件规定、合同约定。</w:t>
      </w:r>
    </w:p>
    <w:p w14:paraId="0080DD0F">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326" w:name="_Toc150782048"/>
      <w:bookmarkStart w:id="327" w:name="_Toc155275271"/>
      <w:bookmarkStart w:id="328" w:name="_Toc15677"/>
      <w:bookmarkStart w:id="329" w:name="_Toc2244"/>
      <w:bookmarkStart w:id="330" w:name="_Toc2821"/>
      <w:bookmarkStart w:id="331" w:name="_Toc4252"/>
      <w:bookmarkStart w:id="332" w:name="_Toc149236944"/>
      <w:bookmarkStart w:id="333" w:name="_Toc75793511"/>
      <w:bookmarkStart w:id="334" w:name="_Toc152320214"/>
      <w:bookmarkStart w:id="335" w:name="_Toc32313"/>
      <w:bookmarkStart w:id="336" w:name="_Toc1450"/>
      <w:bookmarkStart w:id="337" w:name="_Toc20887"/>
      <w:bookmarkStart w:id="338" w:name="_Toc4774"/>
      <w:bookmarkStart w:id="339" w:name="_Toc3465"/>
      <w:bookmarkStart w:id="340" w:name="_Toc16693"/>
      <w:bookmarkStart w:id="341" w:name="_Toc27382"/>
      <w:bookmarkStart w:id="342" w:name="_Toc14177"/>
      <w:bookmarkStart w:id="343" w:name="_Toc23903"/>
      <w:bookmarkStart w:id="344" w:name="_Toc15096"/>
      <w:r>
        <w:rPr>
          <w:rFonts w:hint="eastAsia" w:ascii="仿宋" w:hAnsi="仿宋" w:eastAsia="仿宋" w:cs="仿宋"/>
          <w:color w:val="000000" w:themeColor="text1"/>
          <w:szCs w:val="28"/>
          <w14:textFill>
            <w14:solidFill>
              <w14:schemeClr w14:val="tx1"/>
            </w14:solidFill>
          </w14:textFill>
        </w:rPr>
        <w:t>二、质量保证及售后服务</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AAD2837">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（一）质量保证：整体质保期12个月。在质量保证期满后，为比价人无偿提供产品的技术咨询，并负责产品的终身维修，并以优惠价格提供备品备件。５年内不改变备品备件价格。</w:t>
      </w:r>
    </w:p>
    <w:p w14:paraId="0FECC6C9">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（二）售后服务内容</w:t>
      </w:r>
    </w:p>
    <w:p w14:paraId="0992D52E">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竞价人在质量保证期内应当为比价人提供以下技术支持服务：</w:t>
      </w:r>
    </w:p>
    <w:p w14:paraId="6108F61D">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1.质量保证期内服务要求</w:t>
      </w:r>
    </w:p>
    <w:p w14:paraId="2FD69D6A">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1.1电话咨询</w:t>
      </w:r>
    </w:p>
    <w:p w14:paraId="5761AE0B">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成交竞价人应当为用户提供技术援助电话，解答用户在使用中遇到的问题，及时为用户提出解决问题的建议。</w:t>
      </w:r>
    </w:p>
    <w:p w14:paraId="595EC139">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1.2现场响应</w:t>
      </w:r>
    </w:p>
    <w:p w14:paraId="232790C2">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用户遇到使用及技术问题，电话咨询不能解决的，成交竞价人应在2小时内采取相应响应措施；无法在2小时内解决的，应在8小时内派出专业人员进行技术支持。</w:t>
      </w:r>
    </w:p>
    <w:p w14:paraId="3FE92F47">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1.3技术升级</w:t>
      </w:r>
    </w:p>
    <w:p w14:paraId="6FC79799">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在质保期内，如果成交竞价人的产品技术升级，成交竞价人应及时通知比价人，如比价人有相应要求，成交竞价人应对比价人进行升级服务。</w:t>
      </w:r>
    </w:p>
    <w:p w14:paraId="570FBC7F">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2.质保期外服务要求</w:t>
      </w:r>
    </w:p>
    <w:p w14:paraId="11BF2DFB">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2.1质量保证期过后，成交竞价人应同样提供免费电话咨询服务，并应承诺提供产品上门维护服务。</w:t>
      </w:r>
    </w:p>
    <w:p w14:paraId="6E53A17D">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2.2质量保证期过后，比价人需要继续由原成交竞价人提供售后服务的，成交竞价人应以优惠价格提供售后服务。</w:t>
      </w:r>
    </w:p>
    <w:p w14:paraId="1967382A">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（三）备品备件及易损件</w:t>
      </w:r>
    </w:p>
    <w:p w14:paraId="27E2718F">
      <w:pPr>
        <w:snapToGrid w:val="0"/>
        <w:ind w:firstLine="56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竞价人售后服务中，维修使用的备品备件及易损件应为原厂配件，未经比价人同意不得使用非原厂配件。</w:t>
      </w:r>
    </w:p>
    <w:p w14:paraId="352B4DAC">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345" w:name="_Toc20568"/>
      <w:r>
        <w:rPr>
          <w:rFonts w:hint="eastAsia" w:ascii="仿宋" w:hAnsi="仿宋" w:eastAsia="仿宋" w:cs="仿宋"/>
          <w:color w:val="000000" w:themeColor="text1"/>
          <w:szCs w:val="28"/>
          <w14:textFill>
            <w14:solidFill>
              <w14:schemeClr w14:val="tx1"/>
            </w14:solidFill>
          </w14:textFill>
        </w:rPr>
        <w:t>三、报价要求</w:t>
      </w:r>
      <w:bookmarkEnd w:id="314"/>
      <w:bookmarkEnd w:id="315"/>
      <w:bookmarkEnd w:id="316"/>
      <w:bookmarkEnd w:id="317"/>
      <w:bookmarkEnd w:id="318"/>
      <w:bookmarkEnd w:id="319"/>
      <w:bookmarkEnd w:id="320"/>
      <w:bookmarkEnd w:id="321"/>
      <w:bookmarkEnd w:id="322"/>
      <w:bookmarkEnd w:id="323"/>
      <w:bookmarkEnd w:id="324"/>
      <w:bookmarkEnd w:id="325"/>
      <w:bookmarkEnd w:id="345"/>
    </w:p>
    <w:p w14:paraId="594F8757">
      <w:pPr>
        <w:snapToGrid w:val="0"/>
        <w:ind w:firstLine="560"/>
        <w:rPr>
          <w:rFonts w:hint="eastAsia" w:ascii="仿宋" w:hAnsi="仿宋" w:eastAsia="仿宋" w:cs="仿宋"/>
          <w:color w:val="000000" w:themeColor="text1"/>
          <w:sz w:val="28"/>
          <w:szCs w:val="28"/>
          <w14:textFill>
            <w14:solidFill>
              <w14:schemeClr w14:val="tx1"/>
            </w14:solidFill>
          </w14:textFill>
        </w:rPr>
      </w:pPr>
      <w:bookmarkStart w:id="346" w:name="_Toc4472"/>
      <w:bookmarkStart w:id="347" w:name="_Toc25982"/>
      <w:bookmarkStart w:id="348" w:name="_Toc2875"/>
      <w:bookmarkStart w:id="349" w:name="_Toc26152"/>
      <w:bookmarkStart w:id="350" w:name="_Toc63600417"/>
      <w:bookmarkStart w:id="351" w:name="_Toc13619"/>
      <w:bookmarkStart w:id="352" w:name="_Toc27525"/>
      <w:bookmarkStart w:id="353" w:name="_Toc26590"/>
      <w:bookmarkStart w:id="354" w:name="_Toc16677"/>
      <w:bookmarkStart w:id="355" w:name="_Toc2377"/>
      <w:bookmarkStart w:id="356" w:name="_Toc30461"/>
      <w:r>
        <w:rPr>
          <w:rFonts w:hint="eastAsia" w:ascii="仿宋" w:hAnsi="仿宋" w:eastAsia="仿宋" w:cs="仿宋"/>
          <w:color w:val="000000" w:themeColor="text1"/>
          <w:sz w:val="28"/>
          <w:szCs w:val="28"/>
          <w14:textFill>
            <w14:solidFill>
              <w14:schemeClr w14:val="tx1"/>
            </w14:solidFill>
          </w14:textFill>
        </w:rPr>
        <w:t>本次报价须为人民币报价， 超过本项目最高限价及全费用综合单价限价的报价为无效报价；竞价报价包括完成本项目所需的设备费、安装调试费（含安装辅材）、管理费、利润、风险费、措施费（含安全文明施工费）、规费、税金等所有费用。因成交竞价人自身原因造成漏报、少报皆由其自行承担责任，比价人不再补偿。</w:t>
      </w:r>
    </w:p>
    <w:p w14:paraId="5B07F5DC">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357" w:name="_Toc28237"/>
      <w:r>
        <w:rPr>
          <w:rFonts w:hint="eastAsia" w:ascii="仿宋" w:hAnsi="仿宋" w:eastAsia="仿宋" w:cs="仿宋"/>
          <w:color w:val="000000" w:themeColor="text1"/>
          <w:szCs w:val="28"/>
          <w14:textFill>
            <w14:solidFill>
              <w14:schemeClr w14:val="tx1"/>
            </w14:solidFill>
          </w14:textFill>
        </w:rPr>
        <w:t>四、付款方式</w:t>
      </w:r>
      <w:bookmarkEnd w:id="357"/>
    </w:p>
    <w:bookmarkEnd w:id="346"/>
    <w:bookmarkEnd w:id="347"/>
    <w:bookmarkEnd w:id="348"/>
    <w:bookmarkEnd w:id="349"/>
    <w:bookmarkEnd w:id="350"/>
    <w:bookmarkEnd w:id="351"/>
    <w:bookmarkEnd w:id="352"/>
    <w:bookmarkEnd w:id="353"/>
    <w:bookmarkEnd w:id="354"/>
    <w:bookmarkEnd w:id="355"/>
    <w:bookmarkEnd w:id="356"/>
    <w:p w14:paraId="5B6FF048">
      <w:pPr>
        <w:snapToGrid w:val="0"/>
        <w:ind w:firstLine="560"/>
        <w:rPr>
          <w:rFonts w:hint="eastAsia" w:ascii="仿宋" w:hAnsi="仿宋" w:eastAsia="仿宋" w:cs="仿宋"/>
          <w:color w:val="000000" w:themeColor="text1"/>
          <w:sz w:val="28"/>
          <w:szCs w:val="28"/>
          <w:highlight w:val="none"/>
          <w14:textFill>
            <w14:solidFill>
              <w14:schemeClr w14:val="tx1"/>
            </w14:solidFill>
          </w14:textFill>
        </w:rPr>
      </w:pPr>
      <w:bookmarkStart w:id="358" w:name="_Toc962"/>
      <w:bookmarkStart w:id="359" w:name="_Toc16775"/>
      <w:bookmarkStart w:id="360" w:name="_Toc32670"/>
      <w:bookmarkStart w:id="361" w:name="_Toc11406"/>
      <w:bookmarkStart w:id="362" w:name="_Toc10273"/>
      <w:bookmarkStart w:id="363" w:name="_Toc31859"/>
      <w:bookmarkStart w:id="364" w:name="_Toc4918"/>
      <w:bookmarkStart w:id="365" w:name="_Toc19354"/>
      <w:bookmarkStart w:id="366" w:name="_Toc20755"/>
      <w:bookmarkStart w:id="367" w:name="_Toc23355"/>
      <w:bookmarkStart w:id="368" w:name="_Toc15306"/>
      <w:bookmarkStart w:id="369" w:name="_Toc31647"/>
      <w:bookmarkStart w:id="370" w:name="_Toc20752"/>
      <w:bookmarkStart w:id="371" w:name="_Toc14273"/>
      <w:bookmarkStart w:id="372" w:name="_Toc22440"/>
      <w:bookmarkStart w:id="373" w:name="_Toc30385"/>
      <w:bookmarkStart w:id="374" w:name="_Toc9165"/>
      <w:bookmarkStart w:id="375" w:name="_Toc12349"/>
      <w:bookmarkStart w:id="376" w:name="_Toc11826"/>
      <w:bookmarkStart w:id="377" w:name="_Toc63600419"/>
      <w:bookmarkStart w:id="378" w:name="_Toc1974"/>
      <w:bookmarkStart w:id="379" w:name="_Toc22145"/>
      <w:bookmarkStart w:id="380" w:name="_Toc11553"/>
      <w:bookmarkStart w:id="381" w:name="_Toc5672"/>
      <w:r>
        <w:rPr>
          <w:rFonts w:hint="eastAsia" w:ascii="仿宋" w:hAnsi="仿宋" w:eastAsia="仿宋" w:cs="仿宋"/>
          <w:color w:val="000000" w:themeColor="text1"/>
          <w:sz w:val="28"/>
          <w:szCs w:val="28"/>
          <w:highlight w:val="none"/>
          <w14:textFill>
            <w14:solidFill>
              <w14:schemeClr w14:val="tx1"/>
            </w14:solidFill>
          </w14:textFill>
        </w:rPr>
        <w:t>合同签订后 7 个工作日内，比价人向成交人预付合同总价款的30%；设备运至比价人现场指定位置，比价人现场初验合格后，支付合同总价款的50%，经安装调试、联合运行达到比价人使用条件，正常运行30天，经双方验收后，支付合同总价款的15 % ，付款至95%前成交人必须提供13%全额增值税发票至比价人，剩余5 %的设备款项质保期到期后一次性支付。</w:t>
      </w:r>
    </w:p>
    <w:p w14:paraId="7061E18E">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五、安全责任</w:t>
      </w:r>
    </w:p>
    <w:p w14:paraId="7616F7E6">
      <w:pPr>
        <w:snapToGrid w:val="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设备自制作、运输、安装等全过程中，即未交付使用前，因成交人责任而造成人身及设备安全责任事故由成交人自行承担。</w:t>
      </w:r>
    </w:p>
    <w:p w14:paraId="6A31215F">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六、踏勘现场</w:t>
      </w:r>
      <w:bookmarkEnd w:id="358"/>
    </w:p>
    <w:p w14:paraId="79DA2C3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（一）本项目比价人不组织集中踏勘现场。若需踏勘现场请竞价人自行与比价人联系。</w:t>
      </w:r>
    </w:p>
    <w:p w14:paraId="41DF8A6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（二）无论竞价人是否踏勘过现场，均被认为在递交文件之前已经踏勘现场，对本项目的风险和义务已经十分了解，并在其响应文件中已充分考虑了现场和环境条件。踏勘现场所发生的费用由竞价人自行承担。</w:t>
      </w:r>
    </w:p>
    <w:bookmarkEnd w:id="311"/>
    <w:bookmarkEnd w:id="312"/>
    <w:bookmarkEnd w:id="31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37CE8464">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382" w:name="_Toc8908"/>
      <w:bookmarkStart w:id="383" w:name="_Toc30274"/>
      <w:bookmarkStart w:id="384" w:name="_Toc21447"/>
      <w:bookmarkStart w:id="385" w:name="_Toc26833"/>
      <w:bookmarkStart w:id="386" w:name="_Toc27938"/>
      <w:bookmarkStart w:id="387" w:name="_Toc63600421"/>
      <w:bookmarkStart w:id="388" w:name="_Toc16359"/>
      <w:bookmarkStart w:id="389" w:name="_Toc17462"/>
      <w:bookmarkStart w:id="390" w:name="_Toc6948"/>
      <w:bookmarkStart w:id="391" w:name="_Toc30846"/>
      <w:bookmarkStart w:id="392" w:name="_Toc5645"/>
      <w:bookmarkStart w:id="393" w:name="_Toc21567"/>
      <w:bookmarkStart w:id="394" w:name="_Toc3226"/>
      <w:bookmarkStart w:id="395" w:name="_Toc18366"/>
      <w:bookmarkStart w:id="396" w:name="_Toc28723"/>
      <w:bookmarkStart w:id="397" w:name="_Toc12798"/>
      <w:bookmarkStart w:id="398" w:name="_Toc26177"/>
      <w:r>
        <w:rPr>
          <w:rFonts w:hint="eastAsia" w:ascii="仿宋" w:hAnsi="仿宋" w:eastAsia="仿宋" w:cs="仿宋"/>
          <w:color w:val="000000" w:themeColor="text1"/>
          <w:szCs w:val="28"/>
          <w14:textFill>
            <w14:solidFill>
              <w14:schemeClr w14:val="tx1"/>
            </w14:solidFill>
          </w14:textFill>
        </w:rPr>
        <w:t>七、知识产权</w:t>
      </w:r>
      <w:bookmarkEnd w:id="382"/>
      <w:bookmarkEnd w:id="383"/>
      <w:bookmarkEnd w:id="384"/>
      <w:bookmarkEnd w:id="385"/>
    </w:p>
    <w:p w14:paraId="08B9AF6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比价人在中华人民共和国境内使用竞价人提供的货物及服务时免受第三方提出的侵犯其专利权或其它知识产权的起诉。如果第三方提出侵权指控，中标人应承担由此而引起的一切法律责任和费用。</w:t>
      </w:r>
    </w:p>
    <w:p w14:paraId="568B7376">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399" w:name="_Toc50021819"/>
      <w:bookmarkStart w:id="400" w:name="_Toc7490"/>
      <w:bookmarkStart w:id="401" w:name="_Toc57800820"/>
      <w:bookmarkStart w:id="402" w:name="_Toc24387"/>
      <w:bookmarkStart w:id="403" w:name="_Toc3804"/>
      <w:bookmarkStart w:id="404" w:name="_Toc25644"/>
      <w:bookmarkStart w:id="405" w:name="_Toc31808"/>
      <w:bookmarkStart w:id="406" w:name="_Toc10737"/>
      <w:bookmarkStart w:id="407" w:name="_Toc17420"/>
      <w:r>
        <w:rPr>
          <w:rFonts w:hint="eastAsia" w:ascii="仿宋" w:hAnsi="仿宋" w:eastAsia="仿宋" w:cs="仿宋"/>
          <w:color w:val="000000" w:themeColor="text1"/>
          <w:szCs w:val="28"/>
          <w14:textFill>
            <w14:solidFill>
              <w14:schemeClr w14:val="tx1"/>
            </w14:solidFill>
          </w14:textFill>
        </w:rPr>
        <w:t>八、</w:t>
      </w:r>
      <w:bookmarkStart w:id="408" w:name="_Toc697"/>
      <w:r>
        <w:rPr>
          <w:rFonts w:hint="eastAsia" w:ascii="仿宋" w:hAnsi="仿宋" w:eastAsia="仿宋" w:cs="仿宋"/>
          <w:color w:val="000000" w:themeColor="text1"/>
          <w:szCs w:val="28"/>
          <w14:textFill>
            <w14:solidFill>
              <w14:schemeClr w14:val="tx1"/>
            </w14:solidFill>
          </w14:textFill>
        </w:rPr>
        <w:t>保密要求</w:t>
      </w:r>
      <w:bookmarkEnd w:id="399"/>
      <w:bookmarkEnd w:id="400"/>
      <w:bookmarkEnd w:id="401"/>
      <w:bookmarkEnd w:id="402"/>
      <w:bookmarkEnd w:id="408"/>
    </w:p>
    <w:p w14:paraId="3ED95CA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未经比价人书面许可，竞价人不得以任何形式向第三方透露本项目的任何内容。</w:t>
      </w:r>
    </w:p>
    <w:p w14:paraId="33C4EE0E">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九、培训</w:t>
      </w:r>
    </w:p>
    <w:p w14:paraId="24ED521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成交人对其提供产品的使用和操作应尽培训义务。成交竞价人应提供对比价人的基本免费培训，使比价人使用人员能够正常操作。</w:t>
      </w:r>
    </w:p>
    <w:p w14:paraId="3F726537">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409" w:name="_Toc23237"/>
      <w:r>
        <w:rPr>
          <w:rFonts w:hint="eastAsia" w:ascii="仿宋" w:hAnsi="仿宋" w:eastAsia="仿宋" w:cs="仿宋"/>
          <w:color w:val="000000" w:themeColor="text1"/>
          <w:szCs w:val="28"/>
          <w14:textFill>
            <w14:solidFill>
              <w14:schemeClr w14:val="tx1"/>
            </w14:solidFill>
          </w14:textFill>
        </w:rPr>
        <w:t>十、其他</w:t>
      </w:r>
      <w:bookmarkEnd w:id="403"/>
      <w:bookmarkEnd w:id="404"/>
      <w:bookmarkEnd w:id="405"/>
      <w:bookmarkEnd w:id="406"/>
      <w:bookmarkEnd w:id="407"/>
      <w:bookmarkEnd w:id="409"/>
    </w:p>
    <w:p w14:paraId="22A1BF4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（一）竞价人必须在竞价文件中对以上条款和服务承诺明确列出，承诺内容必须达到本篇及竞价文件其他条款的要求。</w:t>
      </w:r>
    </w:p>
    <w:p w14:paraId="3234E26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（二）中标人确定后，由比价人和中标单位按照相关规定和程序办理有关手续，签订合同。</w:t>
      </w:r>
    </w:p>
    <w:p w14:paraId="31DDBBA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（三）其他未尽事宜由供需双方在采购合同中详细约定。</w:t>
      </w:r>
    </w:p>
    <w:p w14:paraId="22746DF4">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（四）中标人不得分包、转包、挂靠中标项目。</w:t>
      </w:r>
    </w:p>
    <w:p w14:paraId="67AAE84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（五）竞价人在项目服务过程中的成果归比价人所有。</w:t>
      </w:r>
    </w:p>
    <w:p w14:paraId="229DE64E">
      <w:pPr>
        <w:pStyle w:val="2"/>
        <w:tabs>
          <w:tab w:val="left" w:pos="1530"/>
          <w:tab w:val="clear" w:pos="3360"/>
        </w:tabs>
        <w:spacing w:before="120" w:after="120"/>
        <w:ind w:firstLine="0" w:firstLineChars="0"/>
        <w:rPr>
          <w:rFonts w:hint="eastAsia" w:ascii="方正仿宋_GBK" w:hAnsi="宋体" w:eastAsia="方正仿宋_GBK" w:cs="宋体"/>
          <w:b/>
          <w:color w:val="000000" w:themeColor="text1"/>
          <w14:textFill>
            <w14:solidFill>
              <w14:schemeClr w14:val="tx1"/>
            </w14:solidFill>
          </w14:textFill>
        </w:rPr>
      </w:pPr>
      <w:bookmarkStart w:id="410" w:name="_Toc12378"/>
      <w:r>
        <w:rPr>
          <w:rFonts w:hint="eastAsia" w:ascii="方正仿宋_GBK" w:eastAsia="方正仿宋_GBK"/>
          <w:color w:val="000000" w:themeColor="text1"/>
          <w14:textFill>
            <w14:solidFill>
              <w14:schemeClr w14:val="tx1"/>
            </w14:solidFill>
          </w14:textFill>
        </w:rPr>
        <w:br w:type="page"/>
      </w:r>
      <w:r>
        <w:rPr>
          <w:rFonts w:hint="eastAsia" w:ascii="方正仿宋_GBK" w:hAnsi="宋体" w:eastAsia="方正仿宋_GBK" w:cs="宋体"/>
          <w:b/>
          <w:color w:val="000000" w:themeColor="text1"/>
          <w14:textFill>
            <w14:solidFill>
              <w14:schemeClr w14:val="tx1"/>
            </w14:solidFill>
          </w14:textFill>
        </w:rPr>
        <w:t>第四篇  资格审查及评标办法</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410"/>
    </w:p>
    <w:p w14:paraId="1E98F124">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411" w:name="_Toc24664"/>
      <w:bookmarkStart w:id="412" w:name="_Toc517"/>
      <w:bookmarkStart w:id="413" w:name="_Toc20488329"/>
      <w:bookmarkStart w:id="414" w:name="_Toc4454"/>
      <w:bookmarkStart w:id="415" w:name="_Toc8611"/>
      <w:bookmarkStart w:id="416" w:name="_Toc32561"/>
      <w:bookmarkStart w:id="417" w:name="_Toc21628"/>
      <w:bookmarkStart w:id="418" w:name="_Toc31156"/>
      <w:bookmarkStart w:id="419" w:name="_Toc409189625"/>
      <w:bookmarkStart w:id="420" w:name="_Toc16097"/>
      <w:bookmarkStart w:id="421" w:name="_Toc20049"/>
      <w:bookmarkStart w:id="422" w:name="_Toc20489885"/>
      <w:bookmarkStart w:id="423" w:name="_Toc11"/>
      <w:bookmarkStart w:id="424" w:name="_Toc30466"/>
      <w:bookmarkStart w:id="425" w:name="_Toc27433"/>
      <w:bookmarkStart w:id="426" w:name="_Toc63600422"/>
      <w:bookmarkStart w:id="427" w:name="_Toc11295"/>
      <w:bookmarkStart w:id="428" w:name="_Toc21564"/>
      <w:r>
        <w:rPr>
          <w:rFonts w:hint="eastAsia" w:ascii="仿宋" w:hAnsi="仿宋" w:eastAsia="仿宋" w:cs="仿宋"/>
          <w:color w:val="000000" w:themeColor="text1"/>
          <w:szCs w:val="28"/>
          <w14:textFill>
            <w14:solidFill>
              <w14:schemeClr w14:val="tx1"/>
            </w14:solidFill>
          </w14:textFill>
        </w:rPr>
        <w:t>一、</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仿宋" w:hAnsi="仿宋" w:eastAsia="仿宋" w:cs="仿宋"/>
          <w:color w:val="000000" w:themeColor="text1"/>
          <w:szCs w:val="28"/>
          <w14:textFill>
            <w14:solidFill>
              <w14:schemeClr w14:val="tx1"/>
            </w14:solidFill>
          </w14:textFill>
        </w:rPr>
        <w:t>资格审查</w:t>
      </w:r>
      <w:bookmarkEnd w:id="426"/>
      <w:bookmarkEnd w:id="427"/>
      <w:bookmarkEnd w:id="428"/>
    </w:p>
    <w:p w14:paraId="6C67AB6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依据政府采购相关法律法规规定，由比价人对竞价文件中的资格证明文件、竞价保证金缴纳情况进行审查。资格审查资料表如下：</w:t>
      </w:r>
    </w:p>
    <w:tbl>
      <w:tblPr>
        <w:tblStyle w:val="3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09"/>
        <w:gridCol w:w="2835"/>
        <w:gridCol w:w="5385"/>
      </w:tblGrid>
      <w:tr w14:paraId="2250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5" w:type="dxa"/>
            <w:vAlign w:val="center"/>
          </w:tcPr>
          <w:p w14:paraId="6027402B">
            <w:pPr>
              <w:adjustRightInd w:val="0"/>
              <w:snapToGrid w:val="0"/>
              <w:spacing w:line="440" w:lineRule="exact"/>
              <w:ind w:firstLine="0" w:firstLineChars="0"/>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序号</w:t>
            </w:r>
          </w:p>
        </w:tc>
        <w:tc>
          <w:tcPr>
            <w:tcW w:w="3544" w:type="dxa"/>
            <w:gridSpan w:val="2"/>
            <w:vAlign w:val="center"/>
          </w:tcPr>
          <w:p w14:paraId="5CD5A2D6">
            <w:pPr>
              <w:adjustRightInd w:val="0"/>
              <w:snapToGrid w:val="0"/>
              <w:spacing w:line="440" w:lineRule="exact"/>
              <w:ind w:firstLine="0" w:firstLineChars="0"/>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检查因素</w:t>
            </w:r>
          </w:p>
        </w:tc>
        <w:tc>
          <w:tcPr>
            <w:tcW w:w="5385" w:type="dxa"/>
            <w:vAlign w:val="center"/>
          </w:tcPr>
          <w:p w14:paraId="0AD4D731">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检查内容</w:t>
            </w:r>
          </w:p>
        </w:tc>
      </w:tr>
      <w:tr w14:paraId="788D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935" w:type="dxa"/>
            <w:vMerge w:val="restart"/>
            <w:vAlign w:val="center"/>
          </w:tcPr>
          <w:p w14:paraId="7A90E42A">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w:t>
            </w:r>
          </w:p>
        </w:tc>
        <w:tc>
          <w:tcPr>
            <w:tcW w:w="709" w:type="dxa"/>
            <w:vMerge w:val="restart"/>
            <w:vAlign w:val="center"/>
          </w:tcPr>
          <w:p w14:paraId="238E1F2A">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《中华人民共和国政府采购法》第二十二条规定</w:t>
            </w:r>
          </w:p>
        </w:tc>
        <w:tc>
          <w:tcPr>
            <w:tcW w:w="2835" w:type="dxa"/>
            <w:vAlign w:val="center"/>
          </w:tcPr>
          <w:p w14:paraId="1E4E4422">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tc>
        <w:tc>
          <w:tcPr>
            <w:tcW w:w="5385" w:type="dxa"/>
            <w:vAlign w:val="center"/>
          </w:tcPr>
          <w:p w14:paraId="3B9896D5">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1.竞价人法人营业执照（副本）或事业单位法人证书（副本）或个体工商户营业执照或有效的自然人身份证明或社会团体法人登记证书（提供复印件）；</w:t>
            </w:r>
          </w:p>
          <w:p w14:paraId="67DF31FB">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竞价人法定代表人身份证明书和法定代表人授权代表委托书。</w:t>
            </w:r>
          </w:p>
        </w:tc>
      </w:tr>
      <w:tr w14:paraId="31FD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935" w:type="dxa"/>
            <w:vMerge w:val="continue"/>
            <w:vAlign w:val="center"/>
          </w:tcPr>
          <w:p w14:paraId="644588FD">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5AA53D22">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1027186C">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tc>
        <w:tc>
          <w:tcPr>
            <w:tcW w:w="5385" w:type="dxa"/>
            <w:vMerge w:val="restart"/>
            <w:vAlign w:val="center"/>
          </w:tcPr>
          <w:p w14:paraId="46E09D42">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竞价人提供“基本资格条件承诺函”（详见第七篇）。</w:t>
            </w:r>
          </w:p>
        </w:tc>
      </w:tr>
      <w:tr w14:paraId="3352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35" w:type="dxa"/>
            <w:vMerge w:val="continue"/>
            <w:vAlign w:val="center"/>
          </w:tcPr>
          <w:p w14:paraId="6F8A740D">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2D93180D">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7F0E71FA">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tc>
        <w:tc>
          <w:tcPr>
            <w:tcW w:w="5385" w:type="dxa"/>
            <w:vMerge w:val="continue"/>
            <w:vAlign w:val="center"/>
          </w:tcPr>
          <w:p w14:paraId="68377A0E">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p>
        </w:tc>
      </w:tr>
      <w:tr w14:paraId="60EF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35" w:type="dxa"/>
            <w:vMerge w:val="continue"/>
            <w:vAlign w:val="center"/>
          </w:tcPr>
          <w:p w14:paraId="79CE5FDD">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7D40A887">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348E3E00">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4.有依法缴纳税收和社会保障金的良好记录</w:t>
            </w:r>
          </w:p>
        </w:tc>
        <w:tc>
          <w:tcPr>
            <w:tcW w:w="5385" w:type="dxa"/>
            <w:vMerge w:val="continue"/>
            <w:vAlign w:val="center"/>
          </w:tcPr>
          <w:p w14:paraId="4FED62B0">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p>
        </w:tc>
      </w:tr>
      <w:tr w14:paraId="27D0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5" w:type="dxa"/>
            <w:vMerge w:val="continue"/>
            <w:vAlign w:val="center"/>
          </w:tcPr>
          <w:p w14:paraId="69D33F87">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6838FA81">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6CEF063F">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5.参加政府采购活动前三年内，在经营活动中没有重大违法记录（注①）</w:t>
            </w:r>
          </w:p>
        </w:tc>
        <w:tc>
          <w:tcPr>
            <w:tcW w:w="5385" w:type="dxa"/>
            <w:vAlign w:val="center"/>
          </w:tcPr>
          <w:p w14:paraId="28CF817E">
            <w:pPr>
              <w:adjustRightInd w:val="0"/>
              <w:snapToGrid w:val="0"/>
              <w:spacing w:line="440" w:lineRule="exact"/>
              <w:ind w:firstLine="0" w:firstLineChars="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1.竞价人提供“基本资格条件承诺函”（详见第七篇）；</w:t>
            </w:r>
          </w:p>
          <w:p w14:paraId="3BA79A1D">
            <w:pPr>
              <w:adjustRightInd w:val="0"/>
              <w:snapToGrid w:val="0"/>
              <w:spacing w:line="440" w:lineRule="exact"/>
              <w:ind w:firstLine="0" w:firstLineChars="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2.比价人将通过“信用中国”网站（www.creditchina.gov.cn）、“中国政府采购网”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28"/>
                <w:szCs w:val="28"/>
                <w14:textFill>
                  <w14:solidFill>
                    <w14:schemeClr w14:val="tx1"/>
                  </w14:solidFill>
                </w14:textFill>
              </w:rPr>
              <w:t>www.ccgp.gov.cn</w:t>
            </w:r>
            <w:r>
              <w:rPr>
                <w:rFonts w:hint="eastAsia" w:ascii="仿宋" w:hAnsi="仿宋" w:eastAsia="仿宋" w:cs="仿宋"/>
                <w:bCs/>
                <w:color w:val="000000" w:themeColor="text1"/>
                <w:sz w:val="28"/>
                <w:szCs w:val="28"/>
                <w14:textFill>
                  <w14:solidFill>
                    <w14:schemeClr w14:val="tx1"/>
                  </w14:solidFill>
                </w14:textFill>
              </w:rPr>
              <w:fldChar w:fldCharType="end"/>
            </w:r>
            <w:r>
              <w:rPr>
                <w:rFonts w:hint="eastAsia" w:ascii="仿宋" w:hAnsi="仿宋" w:eastAsia="仿宋" w:cs="仿宋"/>
                <w:bCs/>
                <w:color w:val="000000" w:themeColor="text1"/>
                <w:sz w:val="28"/>
                <w:szCs w:val="28"/>
                <w14:textFill>
                  <w14:solidFill>
                    <w14:schemeClr w14:val="tx1"/>
                  </w14:solidFill>
                </w14:textFill>
              </w:rPr>
              <w:t>）等渠道查询竞价人信用记录，对列入失信被执行人、重大税收违法案件当事人名单、政府采购严重违法失信行为记录名单的竞价人将拒绝其参与竞价活动。</w:t>
            </w:r>
          </w:p>
        </w:tc>
      </w:tr>
      <w:tr w14:paraId="2E60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5" w:type="dxa"/>
            <w:vMerge w:val="continue"/>
            <w:vAlign w:val="center"/>
          </w:tcPr>
          <w:p w14:paraId="73BA8EF4">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570B22B9">
            <w:pPr>
              <w:adjustRightInd w:val="0"/>
              <w:snapToGrid w:val="0"/>
              <w:spacing w:line="44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613FE540">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6.法律、行政法规规定的其他条件</w:t>
            </w:r>
          </w:p>
        </w:tc>
        <w:tc>
          <w:tcPr>
            <w:tcW w:w="5385" w:type="dxa"/>
            <w:vAlign w:val="center"/>
          </w:tcPr>
          <w:p w14:paraId="6B4AC47B">
            <w:pPr>
              <w:adjustRightInd w:val="0"/>
              <w:snapToGrid w:val="0"/>
              <w:spacing w:line="44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p>
        </w:tc>
      </w:tr>
      <w:tr w14:paraId="0897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Merge w:val="continue"/>
            <w:vAlign w:val="center"/>
          </w:tcPr>
          <w:p w14:paraId="4781A7D2">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p>
        </w:tc>
        <w:tc>
          <w:tcPr>
            <w:tcW w:w="709" w:type="dxa"/>
            <w:vMerge w:val="continue"/>
            <w:vAlign w:val="center"/>
          </w:tcPr>
          <w:p w14:paraId="54100AFD">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p>
        </w:tc>
        <w:tc>
          <w:tcPr>
            <w:tcW w:w="2835" w:type="dxa"/>
            <w:vAlign w:val="center"/>
          </w:tcPr>
          <w:p w14:paraId="068274BD">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7.特定资格条件</w:t>
            </w:r>
          </w:p>
        </w:tc>
        <w:tc>
          <w:tcPr>
            <w:tcW w:w="5385" w:type="dxa"/>
            <w:vAlign w:val="center"/>
          </w:tcPr>
          <w:p w14:paraId="55C52E8E">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按第一篇“三、竞价人资格要求（三）本项目的特定资格要求”的要求提交（如果有）</w:t>
            </w:r>
          </w:p>
        </w:tc>
      </w:tr>
      <w:tr w14:paraId="4631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14:paraId="4715E0E7">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p>
        </w:tc>
        <w:tc>
          <w:tcPr>
            <w:tcW w:w="3544" w:type="dxa"/>
            <w:gridSpan w:val="2"/>
            <w:vAlign w:val="center"/>
          </w:tcPr>
          <w:p w14:paraId="2D61E240">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落实政府采购政策需满足的资格要求</w:t>
            </w:r>
          </w:p>
        </w:tc>
        <w:tc>
          <w:tcPr>
            <w:tcW w:w="5385" w:type="dxa"/>
            <w:vAlign w:val="center"/>
          </w:tcPr>
          <w:p w14:paraId="1F316D0C">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按第一篇“三、竞价人资格要求（二）落实政府采购政策需满足的资格要求”的要求提交（如果有）</w:t>
            </w:r>
          </w:p>
        </w:tc>
      </w:tr>
      <w:tr w14:paraId="18D1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14:paraId="6447DEC6">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p>
        </w:tc>
        <w:tc>
          <w:tcPr>
            <w:tcW w:w="3544" w:type="dxa"/>
            <w:gridSpan w:val="2"/>
            <w:vAlign w:val="center"/>
          </w:tcPr>
          <w:p w14:paraId="343A49BE">
            <w:pPr>
              <w:adjustRightInd w:val="0"/>
              <w:snapToGrid w:val="0"/>
              <w:spacing w:line="44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竞价保证金</w:t>
            </w:r>
          </w:p>
        </w:tc>
        <w:tc>
          <w:tcPr>
            <w:tcW w:w="5385" w:type="dxa"/>
            <w:vAlign w:val="center"/>
          </w:tcPr>
          <w:p w14:paraId="3B2BC282">
            <w:pPr>
              <w:adjustRightInd w:val="0"/>
              <w:snapToGrid w:val="0"/>
              <w:spacing w:line="44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按第一篇“五、竞价保证金”的要求提交（如果有）</w:t>
            </w:r>
          </w:p>
        </w:tc>
      </w:tr>
    </w:tbl>
    <w:p w14:paraId="441E4F8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说明：以上资格检查证明材料，该年审的应当年审合格，设有效期的应当在有效期内，提供复印件的应当清晰可见并加盖竞价人公章。</w:t>
      </w:r>
    </w:p>
    <w:p w14:paraId="59DED120">
      <w:pPr>
        <w:ind w:firstLine="424"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注：①竞价人按“多证合一”登记制度办理营业执照的，税务登记证（副本）和社会保险登记证以竞价人所提供的营业执照（副本）复印件为准。</w:t>
      </w:r>
    </w:p>
    <w:p w14:paraId="5409B0F5">
      <w:pPr>
        <w:ind w:firstLine="424"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 2 \* GB3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②</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根据《中华人民共和国政府采购法实施条例》第十九条“参加政府采购活动前三年内，在经营活动中没有重大违法记录”中“重大违法记录”，是指竞价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2D69C45">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429" w:name="_Toc63600423"/>
      <w:bookmarkStart w:id="430" w:name="_Toc17380"/>
      <w:bookmarkStart w:id="431" w:name="_Toc4701"/>
      <w:r>
        <w:rPr>
          <w:rFonts w:hint="eastAsia" w:ascii="仿宋" w:hAnsi="仿宋" w:eastAsia="仿宋" w:cs="仿宋"/>
          <w:color w:val="000000" w:themeColor="text1"/>
          <w:szCs w:val="28"/>
          <w14:textFill>
            <w14:solidFill>
              <w14:schemeClr w14:val="tx1"/>
            </w14:solidFill>
          </w14:textFill>
        </w:rPr>
        <w:t>二、评标方法</w:t>
      </w:r>
      <w:bookmarkEnd w:id="429"/>
      <w:bookmarkEnd w:id="430"/>
      <w:bookmarkEnd w:id="431"/>
    </w:p>
    <w:p w14:paraId="4E35C0C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本项目采用最低价竞选法。通过符合性检查的竞价文件，评标委员会按照竞价由低到高的顺序推荐中选候选人。</w:t>
      </w:r>
    </w:p>
    <w:p w14:paraId="7F32927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（一）符合性检查</w:t>
      </w:r>
    </w:p>
    <w:p w14:paraId="52292A0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评标委员会依据竞价文件的规定，从竞价响应文件的有效性、完整性和对竞价文件的响应程度进行审查，以确定是否对竞价文件的实质性要求作出响应。在竞价文件符合性审查过程中，如果出现评标委员会成员意见不一致的情况，按照少数服从多数的原则确定，但不得违背政府采购基本原则和竞价文件规定。符合性审查资料表如下：</w:t>
      </w:r>
    </w:p>
    <w:tbl>
      <w:tblPr>
        <w:tblStyle w:val="3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24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vAlign w:val="center"/>
          </w:tcPr>
          <w:p w14:paraId="103E503F">
            <w:pPr>
              <w:spacing w:line="400" w:lineRule="exact"/>
              <w:ind w:firstLine="0" w:firstLineChars="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3544" w:type="dxa"/>
            <w:gridSpan w:val="2"/>
            <w:vAlign w:val="center"/>
          </w:tcPr>
          <w:p w14:paraId="41994479">
            <w:pPr>
              <w:spacing w:line="400" w:lineRule="exact"/>
              <w:ind w:firstLine="0" w:firstLineChars="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评审因素</w:t>
            </w:r>
          </w:p>
        </w:tc>
        <w:tc>
          <w:tcPr>
            <w:tcW w:w="5409" w:type="dxa"/>
            <w:vAlign w:val="center"/>
          </w:tcPr>
          <w:p w14:paraId="2FE4A9A7">
            <w:pPr>
              <w:spacing w:line="400" w:lineRule="exact"/>
              <w:ind w:firstLine="0" w:firstLineChars="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评审标准</w:t>
            </w:r>
          </w:p>
        </w:tc>
      </w:tr>
      <w:tr w14:paraId="23A0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18D24504">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560" w:type="dxa"/>
            <w:vMerge w:val="restart"/>
            <w:vAlign w:val="center"/>
          </w:tcPr>
          <w:p w14:paraId="55AE5A08">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有效性审查</w:t>
            </w:r>
          </w:p>
        </w:tc>
        <w:tc>
          <w:tcPr>
            <w:tcW w:w="1984" w:type="dxa"/>
            <w:vAlign w:val="center"/>
          </w:tcPr>
          <w:p w14:paraId="1CC0CBDC">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竞价响应文件签署</w:t>
            </w:r>
          </w:p>
        </w:tc>
        <w:tc>
          <w:tcPr>
            <w:tcW w:w="5409" w:type="dxa"/>
            <w:vAlign w:val="center"/>
          </w:tcPr>
          <w:p w14:paraId="2B59806E">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竞价响应文件上法定代表人（或其授权代表）的签署或盖章齐全。</w:t>
            </w:r>
          </w:p>
        </w:tc>
      </w:tr>
      <w:tr w14:paraId="76D3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dxa"/>
            <w:vMerge w:val="continue"/>
            <w:vAlign w:val="center"/>
          </w:tcPr>
          <w:p w14:paraId="678E00D0">
            <w:pPr>
              <w:spacing w:line="40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1560" w:type="dxa"/>
            <w:vMerge w:val="continue"/>
            <w:vAlign w:val="center"/>
          </w:tcPr>
          <w:p w14:paraId="4DC21B35">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p>
        </w:tc>
        <w:tc>
          <w:tcPr>
            <w:tcW w:w="1984" w:type="dxa"/>
            <w:vAlign w:val="center"/>
          </w:tcPr>
          <w:p w14:paraId="2A9A8C75">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竞价方案</w:t>
            </w:r>
          </w:p>
        </w:tc>
        <w:tc>
          <w:tcPr>
            <w:tcW w:w="5409" w:type="dxa"/>
            <w:vAlign w:val="center"/>
          </w:tcPr>
          <w:p w14:paraId="060B33EF">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每个包只能有一个方案竞价。</w:t>
            </w:r>
          </w:p>
        </w:tc>
      </w:tr>
      <w:tr w14:paraId="1BA5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5" w:type="dxa"/>
            <w:vMerge w:val="continue"/>
            <w:vAlign w:val="center"/>
          </w:tcPr>
          <w:p w14:paraId="3D1BF92A">
            <w:pPr>
              <w:spacing w:line="400" w:lineRule="exact"/>
              <w:ind w:firstLine="560"/>
              <w:jc w:val="center"/>
              <w:rPr>
                <w:rFonts w:hint="eastAsia" w:ascii="仿宋" w:hAnsi="仿宋" w:eastAsia="仿宋" w:cs="仿宋"/>
                <w:color w:val="000000" w:themeColor="text1"/>
                <w:sz w:val="28"/>
                <w:szCs w:val="28"/>
                <w14:textFill>
                  <w14:solidFill>
                    <w14:schemeClr w14:val="tx1"/>
                  </w14:solidFill>
                </w14:textFill>
              </w:rPr>
            </w:pPr>
          </w:p>
        </w:tc>
        <w:tc>
          <w:tcPr>
            <w:tcW w:w="1560" w:type="dxa"/>
            <w:vMerge w:val="continue"/>
            <w:vAlign w:val="center"/>
          </w:tcPr>
          <w:p w14:paraId="7532A748">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p>
        </w:tc>
        <w:tc>
          <w:tcPr>
            <w:tcW w:w="1984" w:type="dxa"/>
            <w:vAlign w:val="center"/>
          </w:tcPr>
          <w:p w14:paraId="33486BFE">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报价唯一</w:t>
            </w:r>
          </w:p>
        </w:tc>
        <w:tc>
          <w:tcPr>
            <w:tcW w:w="5409" w:type="dxa"/>
            <w:vAlign w:val="center"/>
          </w:tcPr>
          <w:p w14:paraId="7C63CC68">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只能在预算金额和最高限价内报价，只能有一个有效报价，不得提交选择性报价。</w:t>
            </w:r>
          </w:p>
        </w:tc>
      </w:tr>
      <w:tr w14:paraId="31DC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5" w:type="dxa"/>
            <w:vAlign w:val="center"/>
          </w:tcPr>
          <w:p w14:paraId="3D6510FC">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560" w:type="dxa"/>
            <w:vAlign w:val="center"/>
          </w:tcPr>
          <w:p w14:paraId="694959D4">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完整性审查</w:t>
            </w:r>
          </w:p>
        </w:tc>
        <w:tc>
          <w:tcPr>
            <w:tcW w:w="1984" w:type="dxa"/>
            <w:vAlign w:val="center"/>
          </w:tcPr>
          <w:p w14:paraId="3E080264">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竞价响应文件份数</w:t>
            </w:r>
          </w:p>
        </w:tc>
        <w:tc>
          <w:tcPr>
            <w:tcW w:w="5409" w:type="dxa"/>
            <w:vAlign w:val="center"/>
          </w:tcPr>
          <w:p w14:paraId="54509124">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w:t>
            </w:r>
            <w:r>
              <w:rPr>
                <w:rFonts w:hint="eastAsia" w:ascii="仿宋" w:hAnsi="仿宋" w:eastAsia="仿宋" w:cs="仿宋"/>
                <w:color w:val="000000" w:themeColor="text1"/>
                <w:sz w:val="28"/>
                <w:szCs w:val="28"/>
                <w:lang w:val="zh-CN"/>
                <w14:textFill>
                  <w14:solidFill>
                    <w14:schemeClr w14:val="tx1"/>
                  </w14:solidFill>
                </w14:textFill>
              </w:rPr>
              <w:t>文件正、副本符合竞价文件要求。</w:t>
            </w:r>
          </w:p>
        </w:tc>
      </w:tr>
      <w:tr w14:paraId="473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5" w:type="dxa"/>
            <w:vAlign w:val="center"/>
          </w:tcPr>
          <w:p w14:paraId="042DDE38">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p>
        </w:tc>
        <w:tc>
          <w:tcPr>
            <w:tcW w:w="1560" w:type="dxa"/>
            <w:vAlign w:val="center"/>
          </w:tcPr>
          <w:p w14:paraId="6EB2B713">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服务部分</w:t>
            </w:r>
          </w:p>
        </w:tc>
        <w:tc>
          <w:tcPr>
            <w:tcW w:w="1984" w:type="dxa"/>
            <w:vAlign w:val="center"/>
          </w:tcPr>
          <w:p w14:paraId="59263E99">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竞价响应文件内容</w:t>
            </w:r>
          </w:p>
        </w:tc>
        <w:tc>
          <w:tcPr>
            <w:tcW w:w="5409" w:type="dxa"/>
            <w:vAlign w:val="center"/>
          </w:tcPr>
          <w:p w14:paraId="2B3C6699">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本竞价文件第二篇内容。</w:t>
            </w:r>
          </w:p>
        </w:tc>
      </w:tr>
      <w:tr w14:paraId="37F9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14:paraId="69550DEE">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p>
        </w:tc>
        <w:tc>
          <w:tcPr>
            <w:tcW w:w="1560" w:type="dxa"/>
            <w:vAlign w:val="center"/>
          </w:tcPr>
          <w:p w14:paraId="7F0462D6">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商务部分</w:t>
            </w:r>
          </w:p>
        </w:tc>
        <w:tc>
          <w:tcPr>
            <w:tcW w:w="1984" w:type="dxa"/>
            <w:vAlign w:val="center"/>
          </w:tcPr>
          <w:p w14:paraId="6650A3DA">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竞价响应文件内容</w:t>
            </w:r>
          </w:p>
        </w:tc>
        <w:tc>
          <w:tcPr>
            <w:tcW w:w="5409" w:type="dxa"/>
            <w:vAlign w:val="center"/>
          </w:tcPr>
          <w:p w14:paraId="3EAAC2A1">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本竞价文件第三篇内容。</w:t>
            </w:r>
          </w:p>
        </w:tc>
      </w:tr>
      <w:tr w14:paraId="2F1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14:paraId="76A03B51">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p>
        </w:tc>
        <w:tc>
          <w:tcPr>
            <w:tcW w:w="1560" w:type="dxa"/>
            <w:vAlign w:val="center"/>
          </w:tcPr>
          <w:p w14:paraId="7C10819E">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竞价有效期</w:t>
            </w:r>
          </w:p>
        </w:tc>
        <w:tc>
          <w:tcPr>
            <w:tcW w:w="1984" w:type="dxa"/>
            <w:vAlign w:val="center"/>
          </w:tcPr>
          <w:p w14:paraId="20497985">
            <w:pPr>
              <w:spacing w:line="400" w:lineRule="exact"/>
              <w:ind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竞价响应文件内容</w:t>
            </w:r>
          </w:p>
        </w:tc>
        <w:tc>
          <w:tcPr>
            <w:tcW w:w="5409" w:type="dxa"/>
            <w:vAlign w:val="center"/>
          </w:tcPr>
          <w:p w14:paraId="3DC7A52E">
            <w:pPr>
              <w:spacing w:line="400" w:lineRule="exact"/>
              <w:ind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竞价有效期为竞价截止时间起90天。</w:t>
            </w:r>
          </w:p>
        </w:tc>
      </w:tr>
    </w:tbl>
    <w:p w14:paraId="5F223C44">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澄清有关问题。对竞价文件中含义不明确、同类问题表述不一致或者有明显文字和计算错误的内容，评标委员会可以书面形式（应当由评标委员会成员签字）要求竞价人作出必要澄清、说明或者纠正。竞价人的澄清、说明或者补正应当采用书面形式，由其法定代表人（或其授权代表）或自然人（竞价人为自然人）签字，其澄清的内容不得超出竞价文件的范围或者改变竞价文件的实质性内容。</w:t>
      </w:r>
    </w:p>
    <w:p w14:paraId="3F6EEC7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（三）推荐中标候选人名单。</w:t>
      </w:r>
    </w:p>
    <w:p w14:paraId="1D739E4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按竞价由低到高的排列顺序推荐排名前三的竞价人为本包（项目）中标候选人，排名第一的为第一中标候选人。</w:t>
      </w:r>
      <w:bookmarkStart w:id="432" w:name="_Toc12313"/>
      <w:bookmarkStart w:id="433" w:name="_Toc6861"/>
      <w:bookmarkStart w:id="434" w:name="_Toc25199"/>
      <w:bookmarkStart w:id="435" w:name="_Toc19917"/>
      <w:bookmarkStart w:id="436" w:name="_Toc23541"/>
      <w:bookmarkStart w:id="437" w:name="_Toc26574"/>
      <w:bookmarkStart w:id="438" w:name="_Toc17124"/>
      <w:bookmarkStart w:id="439" w:name="_Toc63600424"/>
      <w:bookmarkStart w:id="440" w:name="_Toc22514"/>
      <w:bookmarkStart w:id="441" w:name="_Toc409189626"/>
      <w:bookmarkStart w:id="442" w:name="_Toc24579"/>
      <w:bookmarkStart w:id="443" w:name="_Toc20489886"/>
      <w:bookmarkStart w:id="444" w:name="_Toc2230"/>
      <w:bookmarkStart w:id="445" w:name="_Toc17974"/>
      <w:bookmarkStart w:id="446" w:name="_Toc10624"/>
      <w:bookmarkStart w:id="447" w:name="_Toc20488330"/>
      <w:bookmarkStart w:id="448" w:name="_Toc25258"/>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778BD0F9">
      <w:pPr>
        <w:ind w:firstLine="562"/>
        <w:rPr>
          <w:rFonts w:hint="eastAsia" w:ascii="仿宋" w:hAnsi="仿宋" w:eastAsia="仿宋" w:cs="仿宋"/>
          <w:color w:val="000000" w:themeColor="text1"/>
          <w:sz w:val="28"/>
          <w:szCs w:val="28"/>
          <w14:textFill>
            <w14:solidFill>
              <w14:schemeClr w14:val="tx1"/>
            </w14:solidFill>
          </w14:textFill>
        </w:rPr>
      </w:pPr>
      <w:bookmarkStart w:id="449" w:name="_Toc20488331"/>
      <w:bookmarkStart w:id="450" w:name="_Toc20489887"/>
      <w:r>
        <w:rPr>
          <w:rFonts w:hint="eastAsia" w:ascii="仿宋" w:hAnsi="仿宋" w:eastAsia="仿宋" w:cs="仿宋"/>
          <w:b/>
          <w:bCs/>
          <w:color w:val="000000" w:themeColor="text1"/>
          <w:sz w:val="28"/>
          <w:szCs w:val="28"/>
          <w14:textFill>
            <w14:solidFill>
              <w14:schemeClr w14:val="tx1"/>
            </w14:solidFill>
          </w14:textFill>
        </w:rPr>
        <w:t>说明：</w:t>
      </w:r>
      <w:bookmarkStart w:id="451" w:name="_Hlk63588472"/>
      <w:r>
        <w:rPr>
          <w:rFonts w:hint="eastAsia" w:ascii="仿宋" w:hAnsi="仿宋" w:eastAsia="仿宋" w:cs="仿宋"/>
          <w:color w:val="000000" w:themeColor="text1"/>
          <w:sz w:val="28"/>
          <w:szCs w:val="28"/>
          <w14:textFill>
            <w14:solidFill>
              <w14:schemeClr w14:val="tx1"/>
            </w14:solidFill>
          </w14:textFill>
        </w:rPr>
        <w:t>评标委员会认为竞价人的报价明显低于其他通过符合性审查竞价人的报价，有可能影响产品质量或者不能诚信履约的，应当要求其在评标现场合理的时间内提供书面说明并提交相关证明材料；竞价人不能证明其报价合理性的，评标委员会应当将其作为无效竞价处理。</w:t>
      </w:r>
      <w:bookmarkEnd w:id="451"/>
    </w:p>
    <w:p w14:paraId="49DCCFBA">
      <w:pPr>
        <w:spacing w:line="480" w:lineRule="exact"/>
        <w:ind w:firstLine="56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（二）竞价报价政策性扣减</w:t>
      </w:r>
    </w:p>
    <w:p w14:paraId="3719E25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1.竞价人为非联合体竞价的，对竞价人为小微型企业给予10%的扣除，以扣除后的报价参与评审。</w:t>
      </w:r>
    </w:p>
    <w:p w14:paraId="770E1B2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2.监狱企业、残疾人福利性单位视同小型、微型企业。</w:t>
      </w:r>
    </w:p>
    <w:p w14:paraId="733442F7">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452" w:name="_Toc27710"/>
      <w:bookmarkStart w:id="453" w:name="_Toc25924"/>
      <w:bookmarkStart w:id="454" w:name="_Toc63600425"/>
      <w:bookmarkStart w:id="455" w:name="_Toc28079"/>
      <w:bookmarkStart w:id="456" w:name="_Toc25080"/>
      <w:bookmarkStart w:id="457" w:name="_Toc32581"/>
      <w:bookmarkStart w:id="458" w:name="_Toc5616"/>
      <w:bookmarkStart w:id="459" w:name="_Toc6342"/>
      <w:bookmarkStart w:id="460" w:name="_Toc25801"/>
      <w:bookmarkStart w:id="461" w:name="_Toc21833"/>
      <w:bookmarkStart w:id="462" w:name="_Toc16611"/>
      <w:bookmarkStart w:id="463" w:name="_Toc18051"/>
      <w:bookmarkStart w:id="464" w:name="_Toc22502"/>
      <w:bookmarkStart w:id="465" w:name="_Toc30567"/>
      <w:bookmarkStart w:id="466" w:name="_Toc8000"/>
      <w:r>
        <w:rPr>
          <w:rFonts w:hint="eastAsia" w:ascii="仿宋" w:hAnsi="仿宋" w:eastAsia="仿宋" w:cs="仿宋"/>
          <w:color w:val="000000" w:themeColor="text1"/>
          <w:szCs w:val="28"/>
          <w14:textFill>
            <w14:solidFill>
              <w14:schemeClr w14:val="tx1"/>
            </w14:solidFill>
          </w14:textFill>
        </w:rPr>
        <w:t>四、无效竞价条款</w:t>
      </w:r>
      <w:bookmarkEnd w:id="449"/>
      <w:bookmarkEnd w:id="450"/>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6F9E68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竞价人或其竞价响应文件出现下列情况之一者，应为无效竞价：</w:t>
      </w:r>
    </w:p>
    <w:p w14:paraId="2C0EB3E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（一）未按照竞价文件的规定提交竞价保证金的；</w:t>
      </w:r>
    </w:p>
    <w:p w14:paraId="4B19328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（二）竞价响应文件未按竞价文件要求签署、盖章的；</w:t>
      </w:r>
    </w:p>
    <w:p w14:paraId="20B393E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（三）不具备竞价文件中规定的资格要求的；</w:t>
      </w:r>
    </w:p>
    <w:p w14:paraId="243D9CE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（四）报价超过竞价文件中规定的预算金额的；</w:t>
      </w:r>
    </w:p>
    <w:p w14:paraId="6AB8DBD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（五）竞价响应文件含有比价人不能接受的附加条件的；</w:t>
      </w:r>
    </w:p>
    <w:p w14:paraId="50D6174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（六）竞价人串通竞价的；</w:t>
      </w:r>
    </w:p>
    <w:p w14:paraId="4048C32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（七）竞价人组成联合体竞价的（竞价文件载明不接受联合体竞价时适用）；</w:t>
      </w:r>
    </w:p>
    <w:p w14:paraId="4273BBB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（八）法律、法规和竞价文件规定的其他无效情形。</w:t>
      </w:r>
    </w:p>
    <w:p w14:paraId="6CF5EBD8">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467" w:name="_Toc17252"/>
      <w:bookmarkStart w:id="468" w:name="_Toc8975"/>
      <w:bookmarkStart w:id="469" w:name="_Toc409189628"/>
      <w:bookmarkStart w:id="470" w:name="_Toc30007"/>
      <w:bookmarkStart w:id="471" w:name="_Toc18206"/>
      <w:bookmarkStart w:id="472" w:name="_Toc54"/>
      <w:bookmarkStart w:id="473" w:name="_Toc20489888"/>
      <w:bookmarkStart w:id="474" w:name="_Toc63600426"/>
      <w:bookmarkStart w:id="475" w:name="_Toc7084"/>
      <w:bookmarkStart w:id="476" w:name="_Toc20488332"/>
      <w:bookmarkStart w:id="477" w:name="_Toc24427"/>
      <w:bookmarkStart w:id="478" w:name="_Toc1142"/>
      <w:bookmarkStart w:id="479" w:name="_Toc2190"/>
      <w:bookmarkStart w:id="480" w:name="_Toc29332"/>
      <w:bookmarkStart w:id="481" w:name="_Toc8390"/>
      <w:bookmarkStart w:id="482" w:name="_Toc6063"/>
      <w:bookmarkStart w:id="483" w:name="_Toc23834"/>
      <w:bookmarkStart w:id="484" w:name="_Toc11644"/>
      <w:bookmarkStart w:id="485" w:name="_Toc384905069"/>
      <w:bookmarkStart w:id="486" w:name="_Toc384905307"/>
      <w:r>
        <w:rPr>
          <w:rFonts w:hint="eastAsia" w:ascii="仿宋" w:hAnsi="仿宋" w:eastAsia="仿宋" w:cs="仿宋"/>
          <w:color w:val="000000" w:themeColor="text1"/>
          <w:szCs w:val="28"/>
          <w14:textFill>
            <w14:solidFill>
              <w14:schemeClr w14:val="tx1"/>
            </w14:solidFill>
          </w14:textFill>
        </w:rPr>
        <w:t>五、废标条款</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bookmarkEnd w:id="485"/>
    <w:bookmarkEnd w:id="486"/>
    <w:p w14:paraId="3165A16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评标委员会评审时出现以下情况之一的，应予废标：</w:t>
      </w:r>
    </w:p>
    <w:p w14:paraId="22EE921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（一）符合专业条件的竞价人或者对竞价文件作实质响应的竞价人不足三家的；</w:t>
      </w:r>
    </w:p>
    <w:p w14:paraId="356643E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（二）竞价人的报价均超过了采购预算，比价人不能支付的；</w:t>
      </w:r>
    </w:p>
    <w:p w14:paraId="2F47074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（三）出现影响采购公正的违法、违规行为的；</w:t>
      </w:r>
    </w:p>
    <w:p w14:paraId="52EFD26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（四）因重大变故，采购任务取消的。</w:t>
      </w:r>
    </w:p>
    <w:p w14:paraId="5568043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废标后，除采购任务取消情形外，应当重新组织采购。</w:t>
      </w:r>
    </w:p>
    <w:p w14:paraId="1277D9A1">
      <w:pPr>
        <w:pStyle w:val="2"/>
        <w:tabs>
          <w:tab w:val="left" w:pos="1530"/>
          <w:tab w:val="clear" w:pos="3360"/>
        </w:tabs>
        <w:spacing w:before="120" w:after="120"/>
        <w:ind w:firstLine="0" w:firstLineChars="0"/>
        <w:rPr>
          <w:rFonts w:hint="eastAsia" w:ascii="方正仿宋_GBK" w:hAnsi="宋体" w:eastAsia="方正仿宋_GBK" w:cs="宋体"/>
          <w:b/>
          <w:color w:val="000000" w:themeColor="text1"/>
          <w14:textFill>
            <w14:solidFill>
              <w14:schemeClr w14:val="tx1"/>
            </w14:solidFill>
          </w14:textFill>
        </w:rPr>
      </w:pPr>
      <w:bookmarkStart w:id="487" w:name="_Toc394390666"/>
      <w:bookmarkStart w:id="488" w:name="_Toc3367"/>
      <w:bookmarkStart w:id="489" w:name="_Toc28332"/>
      <w:bookmarkStart w:id="490" w:name="_Toc1769"/>
      <w:bookmarkStart w:id="491" w:name="_Toc13045"/>
      <w:bookmarkStart w:id="492" w:name="_Toc31811"/>
      <w:bookmarkStart w:id="493" w:name="_Toc11779"/>
      <w:bookmarkStart w:id="494" w:name="_Toc21001"/>
      <w:bookmarkStart w:id="495" w:name="_Toc30481"/>
      <w:bookmarkStart w:id="496" w:name="_Toc6398"/>
      <w:bookmarkStart w:id="497" w:name="_Toc20488333"/>
      <w:bookmarkStart w:id="498" w:name="_Toc31671"/>
      <w:bookmarkStart w:id="499" w:name="_Toc1202"/>
      <w:bookmarkStart w:id="500" w:name="_Toc63600427"/>
      <w:bookmarkStart w:id="501" w:name="_Toc4767"/>
      <w:bookmarkStart w:id="502" w:name="_Toc31628"/>
      <w:bookmarkStart w:id="503" w:name="_Toc31893"/>
      <w:bookmarkStart w:id="504" w:name="_Toc20489889"/>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b/>
          <w:color w:val="000000" w:themeColor="text1"/>
          <w14:textFill>
            <w14:solidFill>
              <w14:schemeClr w14:val="tx1"/>
            </w14:solidFill>
          </w14:textFill>
        </w:rPr>
        <w:t xml:space="preserve">第五篇  </w:t>
      </w:r>
      <w:bookmarkEnd w:id="487"/>
      <w:r>
        <w:rPr>
          <w:rFonts w:hint="eastAsia" w:ascii="方正仿宋_GBK" w:hAnsi="宋体" w:eastAsia="方正仿宋_GBK" w:cs="宋体"/>
          <w:b/>
          <w:color w:val="000000" w:themeColor="text1"/>
          <w14:textFill>
            <w14:solidFill>
              <w14:schemeClr w14:val="tx1"/>
            </w14:solidFill>
          </w14:textFill>
        </w:rPr>
        <w:t>竞价人须知</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AE4A8D1">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05" w:name="_Toc11531"/>
      <w:bookmarkStart w:id="506" w:name="_Toc30219"/>
      <w:bookmarkStart w:id="507" w:name="_Toc3710"/>
      <w:bookmarkStart w:id="508" w:name="_Toc27165"/>
      <w:bookmarkStart w:id="509" w:name="_Toc63600428"/>
      <w:bookmarkStart w:id="510" w:name="_Toc13191"/>
      <w:bookmarkStart w:id="511" w:name="_Toc18560"/>
      <w:bookmarkStart w:id="512" w:name="_Toc28710"/>
      <w:bookmarkStart w:id="513" w:name="_Toc20488334"/>
      <w:bookmarkStart w:id="514" w:name="_Toc31386"/>
      <w:bookmarkStart w:id="515" w:name="_Toc2711"/>
      <w:bookmarkStart w:id="516" w:name="_Toc409189629"/>
      <w:bookmarkStart w:id="517" w:name="_Toc703"/>
      <w:bookmarkStart w:id="518" w:name="_Toc20489890"/>
      <w:bookmarkStart w:id="519" w:name="_Toc28133"/>
      <w:bookmarkStart w:id="520" w:name="_Toc19701"/>
      <w:bookmarkStart w:id="521" w:name="_Toc10769"/>
      <w:r>
        <w:rPr>
          <w:rFonts w:hint="eastAsia" w:ascii="仿宋" w:hAnsi="仿宋" w:eastAsia="仿宋" w:cs="仿宋"/>
          <w:color w:val="000000" w:themeColor="text1"/>
          <w:szCs w:val="28"/>
          <w14:textFill>
            <w14:solidFill>
              <w14:schemeClr w14:val="tx1"/>
            </w14:solidFill>
          </w14:textFill>
        </w:rPr>
        <w:t>一、</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ascii="仿宋" w:hAnsi="仿宋" w:eastAsia="仿宋" w:cs="仿宋"/>
          <w:color w:val="000000" w:themeColor="text1"/>
          <w:szCs w:val="28"/>
          <w14:textFill>
            <w14:solidFill>
              <w14:schemeClr w14:val="tx1"/>
            </w14:solidFill>
          </w14:textFill>
        </w:rPr>
        <w:t>竞价人</w:t>
      </w:r>
    </w:p>
    <w:p w14:paraId="512D1DA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（一）竞价人</w:t>
      </w:r>
    </w:p>
    <w:p w14:paraId="4AD7BE0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竞价人是指响应竞价文件、参加竞价的法人、其他组织或者自然人。</w:t>
      </w:r>
    </w:p>
    <w:p w14:paraId="51A1E00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（二）合格竞价人条件</w:t>
      </w:r>
    </w:p>
    <w:p w14:paraId="4A1BF29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合格竞价人应完全符合竞价文件第一篇中规定的竞价人资格条件，并对竞价文件作出实质性响应。</w:t>
      </w:r>
    </w:p>
    <w:p w14:paraId="2D373FD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（三）竞价人的风险</w:t>
      </w:r>
    </w:p>
    <w:p w14:paraId="3B99B80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竞价人没有按照竞价文件要求提供全部资料，或者竞价人没有对竞价文件在各方面作出实质性响应，可能导致竞价被拒绝或评定为无效竞价。</w:t>
      </w:r>
    </w:p>
    <w:p w14:paraId="1336E8D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（四）法律责任</w:t>
      </w:r>
    </w:p>
    <w:p w14:paraId="3C8EA42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竞价人违反《中华人民共和国政府采购法》、《中华人民共和国政府采购实施条例》等相关规定，将按规定追究竞价人法律责任。</w:t>
      </w:r>
    </w:p>
    <w:p w14:paraId="473CE455">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22" w:name="_Toc6772"/>
      <w:bookmarkStart w:id="523" w:name="_Toc457"/>
      <w:bookmarkStart w:id="524" w:name="_Toc23695"/>
      <w:bookmarkStart w:id="525" w:name="_Toc22601"/>
      <w:bookmarkStart w:id="526" w:name="_Toc409189631"/>
      <w:bookmarkStart w:id="527" w:name="_Toc32608"/>
      <w:bookmarkStart w:id="528" w:name="_Toc8274"/>
      <w:bookmarkStart w:id="529" w:name="_Toc31001"/>
      <w:bookmarkStart w:id="530" w:name="_Toc18261"/>
      <w:bookmarkStart w:id="531" w:name="_Toc22"/>
      <w:bookmarkStart w:id="532" w:name="_Toc20488335"/>
      <w:bookmarkStart w:id="533" w:name="_Toc31561"/>
      <w:bookmarkStart w:id="534" w:name="_Toc95"/>
      <w:bookmarkStart w:id="535" w:name="_Toc20489891"/>
      <w:bookmarkStart w:id="536" w:name="_Toc15775"/>
      <w:bookmarkStart w:id="537" w:name="_Toc22043"/>
      <w:bookmarkStart w:id="538" w:name="_Toc63600429"/>
      <w:r>
        <w:rPr>
          <w:rFonts w:hint="eastAsia" w:ascii="仿宋" w:hAnsi="仿宋" w:eastAsia="仿宋" w:cs="仿宋"/>
          <w:color w:val="000000" w:themeColor="text1"/>
          <w:szCs w:val="28"/>
          <w14:textFill>
            <w14:solidFill>
              <w14:schemeClr w14:val="tx1"/>
            </w14:solidFill>
          </w14:textFill>
        </w:rPr>
        <w:t>二、</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hint="eastAsia" w:ascii="仿宋" w:hAnsi="仿宋" w:eastAsia="仿宋" w:cs="仿宋"/>
          <w:color w:val="000000" w:themeColor="text1"/>
          <w:szCs w:val="28"/>
          <w14:textFill>
            <w14:solidFill>
              <w14:schemeClr w14:val="tx1"/>
            </w14:solidFill>
          </w14:textFill>
        </w:rPr>
        <w:t>竞价文件</w:t>
      </w:r>
    </w:p>
    <w:p w14:paraId="06105B2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竞价文件是竞价人编制竞价响应文件的依据，是评标委员会评判依据和标准。竞价文件也是比价人与中标人签订合同的基础。</w:t>
      </w:r>
    </w:p>
    <w:p w14:paraId="3C85016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（一）竞价文件由竞价邀请书；项目服务要求；项目商务要求；资格审查及评标办法；竞价人须知；合同主要条款和格式（样本）；竞价文件格式等七部分组成。</w:t>
      </w:r>
    </w:p>
    <w:p w14:paraId="5594261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（二）比价人对竞价文件所作的一切有效的书面通知、修改及补充，都是竞价文件不可分割的部分。</w:t>
      </w:r>
    </w:p>
    <w:p w14:paraId="2F85E70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（三）本项目的竞价文件、补遗文件（如果有）一律由比价人相关负责人发送，请各竞价人注意下载；无论竞价人下载与否，均视同竞价人已知晓本项目竞价文件、补遗文件的内容。</w:t>
      </w:r>
    </w:p>
    <w:p w14:paraId="3EFC7A2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（四）比价人对已发出的竞价文件需要进行澄清或修改的，应以书面形式或公告形式通知所有竞价文件收受人。该澄清或者修改的内容为竞价文件的组成部分。</w:t>
      </w:r>
    </w:p>
    <w:p w14:paraId="76E784CE">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39" w:name="_Toc19071"/>
      <w:bookmarkStart w:id="540" w:name="_Toc20489892"/>
      <w:bookmarkStart w:id="541" w:name="_Toc9394"/>
      <w:bookmarkStart w:id="542" w:name="_Toc409189632"/>
      <w:bookmarkStart w:id="543" w:name="_Toc7784"/>
      <w:bookmarkStart w:id="544" w:name="_Toc2523"/>
      <w:bookmarkStart w:id="545" w:name="_Toc63600430"/>
      <w:bookmarkStart w:id="546" w:name="_Toc7510"/>
      <w:bookmarkStart w:id="547" w:name="_Toc4467"/>
      <w:bookmarkStart w:id="548" w:name="_Toc18325"/>
      <w:bookmarkStart w:id="549" w:name="_Toc9962"/>
      <w:bookmarkStart w:id="550" w:name="_Toc28490"/>
      <w:bookmarkStart w:id="551" w:name="_Toc20488336"/>
      <w:bookmarkStart w:id="552" w:name="_Toc5827"/>
      <w:bookmarkStart w:id="553" w:name="_Toc5751"/>
      <w:bookmarkStart w:id="554" w:name="_Toc16747"/>
      <w:bookmarkStart w:id="555" w:name="_Toc4287"/>
      <w:r>
        <w:rPr>
          <w:rFonts w:hint="eastAsia" w:ascii="仿宋" w:hAnsi="仿宋" w:eastAsia="仿宋" w:cs="仿宋"/>
          <w:color w:val="000000" w:themeColor="text1"/>
          <w:szCs w:val="28"/>
          <w14:textFill>
            <w14:solidFill>
              <w14:schemeClr w14:val="tx1"/>
            </w14:solidFill>
          </w14:textFill>
        </w:rPr>
        <w:t>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color w:val="000000" w:themeColor="text1"/>
          <w:szCs w:val="28"/>
          <w14:textFill>
            <w14:solidFill>
              <w14:schemeClr w14:val="tx1"/>
            </w14:solidFill>
          </w14:textFill>
        </w:rPr>
        <w:t>竞价文件</w:t>
      </w:r>
    </w:p>
    <w:p w14:paraId="2ADED41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竞价人应当按照竞价文件的要求编制竞价文件，并对竞价文件提出的要求和条件作出实质性响应，竞价文件原则上采用软面订本，同时应编制完整的页码、目录。</w:t>
      </w:r>
    </w:p>
    <w:p w14:paraId="417B369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（一）竞价文件组成</w:t>
      </w:r>
    </w:p>
    <w:p w14:paraId="2EE94C1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文件由第七篇“竞价文件格式”规定的部分和竞价人所作的一切有效补充、修改和承诺等文件组成，竞价人应按照第七篇“竞价文件格式”规定的目录顺序组织编写和装订，否则有可能影响评委对竞价文件的评审。</w:t>
      </w:r>
    </w:p>
    <w:p w14:paraId="4717F78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（二）联合竞价（本次招标不接受联合体竞价）</w:t>
      </w:r>
    </w:p>
    <w:p w14:paraId="7D7FB73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1.两个以上竞价人可以组成一个竞价联合体，以一个竞价人的身份竞价。</w:t>
      </w:r>
    </w:p>
    <w:p w14:paraId="27A52D5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2.以联合体形式参加竞价的，联合体各方均应满足竞价人资格要求（详见“第一篇”）。联合体中有同类资质的竞价人按照联合体分工承担相同工作的，应当按照资质等级较低的竞价人确定资质等级。</w:t>
      </w:r>
    </w:p>
    <w:p w14:paraId="06C8895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联合体各方之间应当签订共同竞价协议，共同竞价协议中应确定主办方（主体），代表联合体进行竞价和澄清。共同竞价协议应明确约定联合体各方承担的工作和相应的责任，并将共同竞价协议连同竞价文件一并提交比价人。</w:t>
      </w:r>
    </w:p>
    <w:p w14:paraId="564AA82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4.以联合体形式参加政府采购活动的，联合体各方不得再单独参加或者与其他竞价人另外组成联合体参加同一合同项下的政府采购活动。</w:t>
      </w:r>
    </w:p>
    <w:p w14:paraId="092295B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5.联合体竞价业绩计算，按照共同竞价协议分工认定。</w:t>
      </w:r>
    </w:p>
    <w:p w14:paraId="0ED5B53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两个以上的自然人、法人或者其他组织组成一个联合体，以一个竞价人的身份共同参加政府采购活动的，应当对所有联合体成员进行信用记录查询，联合体成员存在不良信用记录的，视同联合体存在不良信用记录。</w:t>
      </w:r>
    </w:p>
    <w:p w14:paraId="3795D9D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7.以联合体竞价的，共同竞价协议中应确定主办方（主体），代表联合体进行竞价和澄清。法定代表人授权委托书由联合体主办方（主体）出具。联合体各方均应满足竞价人资格要求（详见“第一篇”）。</w:t>
      </w:r>
    </w:p>
    <w:p w14:paraId="0AD4002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（三）竞价有效期</w:t>
      </w:r>
    </w:p>
    <w:p w14:paraId="02169E3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竞价有效期为竞价截止时间起90天。</w:t>
      </w:r>
    </w:p>
    <w:p w14:paraId="38C0EA8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（四）竞价保证金</w:t>
      </w:r>
    </w:p>
    <w:p w14:paraId="5BF2974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不采用。</w:t>
      </w:r>
    </w:p>
    <w:p w14:paraId="04A3A71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（五）竞价文件的份数和签署</w:t>
      </w:r>
    </w:p>
    <w:p w14:paraId="154ECF3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文件一式三份，其中正本一份，副本二份。资格文件须单独装订，资格文件一式三份，其中正本一份，副本二份。电子文档一份（电子文档内容应与竞价文件正本一致，推荐采用光盘或U盘为文件载体）。每套纸质竞价文件须在封面清楚地标明“正本”、“副本”，副本应为正本的完整复印件，副本与正本不一致时以正本为准。竞价文件电子文档与纸质竞价文件正本不一致时，以纸质竞价文件正本为准。</w:t>
      </w:r>
    </w:p>
    <w:p w14:paraId="0B7035F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2.在竞价文件正本中，竞价文件第七篇竞价文件格式中规定签署、盖章的地方必须按其规定签署、盖章。</w:t>
      </w:r>
    </w:p>
    <w:p w14:paraId="6AD40FE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3若竞价人对竞价文件的错处作必要修改，则应在修改处加盖竞价人公章或由法定代表人（或其授权代表）签署确认。</w:t>
      </w:r>
    </w:p>
    <w:p w14:paraId="6473582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4.电报、电话、传真形式的竞价文件概不接受。</w:t>
      </w:r>
    </w:p>
    <w:p w14:paraId="3809A96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（六）竞价报价</w:t>
      </w:r>
    </w:p>
    <w:p w14:paraId="65B4E16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1.竞价人应严格按照“竞价文件格式”中“开标一览表”格式填写报价。</w:t>
      </w:r>
    </w:p>
    <w:p w14:paraId="6739335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2.竞价人的报价为一次性报价。</w:t>
      </w:r>
    </w:p>
    <w:p w14:paraId="18729C0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3.本项目只接受一个竞价报价，有选择的或有条件的报价将不予接受。</w:t>
      </w:r>
    </w:p>
    <w:p w14:paraId="7FD82D6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（七）修正错误</w:t>
      </w:r>
    </w:p>
    <w:p w14:paraId="2351B99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若竞价文件出现计算或表达上的错误，修正错误的原则如下：</w:t>
      </w:r>
    </w:p>
    <w:p w14:paraId="114A415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1.竞价文件中开标一览表（报价表）内容与竞价文件中相应内容不一致的，以开标一览表（报价表）为准；</w:t>
      </w:r>
    </w:p>
    <w:p w14:paraId="68BA15E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2.大写金额和小写金额不一致的，以大写金额为准；</w:t>
      </w:r>
    </w:p>
    <w:p w14:paraId="45E8051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3.单价金额小数点或者百分比有明显错位的，以开标一览表的总价为准，并修改单价；</w:t>
      </w:r>
    </w:p>
    <w:p w14:paraId="7117C44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4.总价金额与按单价汇总金额不一致的，以单价金额计算结果为准。</w:t>
      </w:r>
    </w:p>
    <w:p w14:paraId="37D0D25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评标委员会按上述修正错误的原则及方法调整或修正竞价人竞价报价，若同时出现两种以上不一致的，按照前款规定的顺序修正。</w:t>
      </w:r>
    </w:p>
    <w:p w14:paraId="612266F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修正的方式为竞价人作出书面澄清、说明或者补正，并加盖公章，或者由法定代表人或其授权的代表签字。竞价人的澄清、说明或者补正不得超出竞价文件的范围或者改变竞价文件的实质性内容。</w:t>
      </w:r>
    </w:p>
    <w:p w14:paraId="7FD5DCC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调整后的竞价报价对竞价人具有约束作用，如果竞价人不接受修正后的报价，则其竞价将作为无效竞价处理。</w:t>
      </w:r>
    </w:p>
    <w:p w14:paraId="4A83116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（八）竞价文件的递交</w:t>
      </w:r>
    </w:p>
    <w:p w14:paraId="213FCAA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1.竞价文件的密封与标记</w:t>
      </w:r>
    </w:p>
    <w:p w14:paraId="274D420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竞价文件的正本、副本以及电子文档均应密封送达竞价地点，应在封套上注明项目名称、竞价人名称。若正本、副本以及电子文档分别进行密封的，还应在封套上注明“正本”、“副本”、“电子文档”字样。</w:t>
      </w:r>
    </w:p>
    <w:p w14:paraId="59EAE194">
      <w:pPr>
        <w:ind w:firstLine="56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竞价文件的“正本”和“副本”均应密封送达竞价地点，并在封套上注明项目名称、竞价人名称。否则其竞价将被比价人拒绝受理。</w:t>
      </w:r>
    </w:p>
    <w:p w14:paraId="22DCDF3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3.如果未按上述规定进行密封和标记，比价人对竞价文件误投、丢失或提前拆封不负责任。</w:t>
      </w:r>
    </w:p>
    <w:p w14:paraId="0E6BB213">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56" w:name="_Toc19323"/>
      <w:bookmarkStart w:id="557" w:name="_Toc3433"/>
      <w:bookmarkStart w:id="558" w:name="_Toc16997"/>
      <w:bookmarkStart w:id="559" w:name="_Toc5623"/>
      <w:bookmarkStart w:id="560" w:name="_Toc1613"/>
      <w:bookmarkStart w:id="561" w:name="_Toc20488337"/>
      <w:bookmarkStart w:id="562" w:name="_Toc21044"/>
      <w:bookmarkStart w:id="563" w:name="_Toc14401"/>
      <w:bookmarkStart w:id="564" w:name="_Toc3130"/>
      <w:bookmarkStart w:id="565" w:name="_Toc63600431"/>
      <w:bookmarkStart w:id="566" w:name="_Toc8168"/>
      <w:bookmarkStart w:id="567" w:name="_Toc8694"/>
      <w:bookmarkStart w:id="568" w:name="_Toc409189633"/>
      <w:bookmarkStart w:id="569" w:name="_Toc406"/>
      <w:bookmarkStart w:id="570" w:name="_Toc20489893"/>
      <w:bookmarkStart w:id="571" w:name="_Toc4234"/>
      <w:bookmarkStart w:id="572" w:name="_Toc28518"/>
      <w:r>
        <w:rPr>
          <w:rFonts w:hint="eastAsia" w:ascii="仿宋" w:hAnsi="仿宋" w:eastAsia="仿宋" w:cs="仿宋"/>
          <w:color w:val="000000" w:themeColor="text1"/>
          <w:szCs w:val="28"/>
          <w14:textFill>
            <w14:solidFill>
              <w14:schemeClr w14:val="tx1"/>
            </w14:solidFill>
          </w14:textFill>
        </w:rPr>
        <w:t>四、开标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549B30C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（一）开标应当在竞价文件中“竞价邀请书”确定的时间和地点公开进行。</w:t>
      </w:r>
    </w:p>
    <w:p w14:paraId="60AA629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（二）比价人可视采购具体情况，延长竞价截止时间和开标时间，变更时间以发布补遗公告形式通知所有潜在竞价人。</w:t>
      </w:r>
    </w:p>
    <w:p w14:paraId="0395D63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（三）开标由比价人主持，邀请有关监督部门代表参加，有关监督部门可视情况派员现场监督。</w:t>
      </w:r>
    </w:p>
    <w:p w14:paraId="2648944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（四）开标时，由监督部门检查竞价文件的密封情况，经确认无误后，由比价人工作人员当众拆封，宣布竞价人名称、竞价价格和《开标一览表》规定的需要宣布的其他内容。竞价人不足三家的，不得开标。</w:t>
      </w:r>
    </w:p>
    <w:p w14:paraId="496DA23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（五）未宣读的竞价价格、价格折扣和竞价文件允许提供的备选竞价方案等实质性内容等，评标时不予承认。</w:t>
      </w:r>
    </w:p>
    <w:p w14:paraId="0DF4EED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（六）开标过程由比价人指定专人负责记录，并存档备查。</w:t>
      </w:r>
    </w:p>
    <w:p w14:paraId="087ADC2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（七）竞价人未参加开标的，视同认可开标结果。</w:t>
      </w:r>
    </w:p>
    <w:p w14:paraId="6C5BE921">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73" w:name="_Toc2503"/>
      <w:bookmarkStart w:id="574" w:name="_Toc1718"/>
      <w:bookmarkStart w:id="575" w:name="_Toc10972"/>
      <w:bookmarkStart w:id="576" w:name="_Toc27859"/>
      <w:bookmarkStart w:id="577" w:name="_Toc5499"/>
      <w:bookmarkStart w:id="578" w:name="_Toc29126"/>
      <w:bookmarkStart w:id="579" w:name="_Toc17314"/>
      <w:bookmarkStart w:id="580" w:name="_Toc32559"/>
      <w:bookmarkStart w:id="581" w:name="_Toc26484"/>
      <w:bookmarkStart w:id="582" w:name="_Toc7668"/>
      <w:bookmarkStart w:id="583" w:name="_Toc63600432"/>
      <w:bookmarkStart w:id="584" w:name="_Toc20488338"/>
      <w:bookmarkStart w:id="585" w:name="_Toc20489894"/>
      <w:bookmarkStart w:id="586" w:name="_Toc8642"/>
      <w:bookmarkStart w:id="587" w:name="_Toc409189634"/>
      <w:bookmarkStart w:id="588" w:name="_Toc29890"/>
      <w:bookmarkStart w:id="589" w:name="_Toc25629"/>
      <w:r>
        <w:rPr>
          <w:rFonts w:hint="eastAsia" w:ascii="仿宋" w:hAnsi="仿宋" w:eastAsia="仿宋" w:cs="仿宋"/>
          <w:color w:val="000000" w:themeColor="text1"/>
          <w:szCs w:val="28"/>
          <w14:textFill>
            <w14:solidFill>
              <w14:schemeClr w14:val="tx1"/>
            </w14:solidFill>
          </w14:textFill>
        </w:rPr>
        <w:t>五、评标</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D0B7C9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见第四篇“评标”内容。</w:t>
      </w:r>
    </w:p>
    <w:p w14:paraId="5CB79262">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590" w:name="_Toc18724"/>
      <w:bookmarkStart w:id="591" w:name="_Toc12180"/>
      <w:bookmarkStart w:id="592" w:name="_Toc13776"/>
      <w:bookmarkStart w:id="593" w:name="_Toc25896"/>
      <w:bookmarkStart w:id="594" w:name="_Toc409189635"/>
      <w:bookmarkStart w:id="595" w:name="_Toc20489895"/>
      <w:bookmarkStart w:id="596" w:name="_Toc32161"/>
      <w:bookmarkStart w:id="597" w:name="_Toc6623"/>
      <w:bookmarkStart w:id="598" w:name="_Toc25956"/>
      <w:bookmarkStart w:id="599" w:name="_Toc20488339"/>
      <w:bookmarkStart w:id="600" w:name="_Toc20656"/>
      <w:bookmarkStart w:id="601" w:name="_Toc15081"/>
      <w:bookmarkStart w:id="602" w:name="_Toc6826"/>
      <w:bookmarkStart w:id="603" w:name="_Toc63600433"/>
      <w:bookmarkStart w:id="604" w:name="_Toc20427"/>
      <w:bookmarkStart w:id="605" w:name="_Toc31083"/>
      <w:bookmarkStart w:id="606" w:name="_Toc22323"/>
      <w:r>
        <w:rPr>
          <w:rFonts w:hint="eastAsia" w:ascii="仿宋" w:hAnsi="仿宋" w:eastAsia="仿宋" w:cs="仿宋"/>
          <w:color w:val="000000" w:themeColor="text1"/>
          <w:szCs w:val="28"/>
          <w14:textFill>
            <w14:solidFill>
              <w14:schemeClr w14:val="tx1"/>
            </w14:solidFill>
          </w14:textFill>
        </w:rPr>
        <w:t>六、定标</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0977982A">
      <w:pPr>
        <w:ind w:firstLine="560"/>
        <w:rPr>
          <w:rFonts w:hint="eastAsia" w:ascii="仿宋" w:hAnsi="仿宋" w:eastAsia="仿宋" w:cs="仿宋"/>
          <w:color w:val="000000" w:themeColor="text1"/>
          <w:sz w:val="28"/>
          <w:szCs w:val="28"/>
          <w14:textFill>
            <w14:solidFill>
              <w14:schemeClr w14:val="tx1"/>
            </w14:solidFill>
          </w14:textFill>
        </w:rPr>
      </w:pPr>
      <w:bookmarkStart w:id="607" w:name="_Toc409189636"/>
      <w:r>
        <w:rPr>
          <w:rFonts w:hint="eastAsia" w:ascii="仿宋" w:hAnsi="仿宋" w:eastAsia="仿宋" w:cs="仿宋"/>
          <w:color w:val="000000" w:themeColor="text1"/>
          <w:sz w:val="28"/>
          <w:szCs w:val="28"/>
          <w14:textFill>
            <w14:solidFill>
              <w14:schemeClr w14:val="tx1"/>
            </w14:solidFill>
          </w14:textFill>
        </w:rPr>
        <w:t>（一）定标原则</w:t>
      </w:r>
    </w:p>
    <w:p w14:paraId="4C153F9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比价人或其授权的评标委员会应按照评标报告中推荐的中标候选人排名顺序确定中标人。</w:t>
      </w:r>
    </w:p>
    <w:p w14:paraId="6634CCB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（二）定标程序</w:t>
      </w:r>
    </w:p>
    <w:p w14:paraId="129E219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1.比价人应当在评标结束后2个工作日内将评标报告送比价人。</w:t>
      </w:r>
    </w:p>
    <w:p w14:paraId="577B253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2.比价人应当自收到评标报告之日起５个工作日内，在评标报告确定的中标候选人名单中按顺序确定中标人。</w:t>
      </w:r>
    </w:p>
    <w:p w14:paraId="2A4EE7B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中标候选人并列的，由比价人或者比价人委托评标委员会按照竞价文件规定的方式确定中标人；竞价文件未规定的，采取随机抽取的方式确定。</w:t>
      </w:r>
    </w:p>
    <w:p w14:paraId="301C880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比价人在收到评标报告5个工作日内未按评标报告推荐的中标候选人顺序确定中标人，又不能说明合法理由的，视同按评标报告推荐的顺序确定排名第一的中标候选人为中标人。</w:t>
      </w:r>
    </w:p>
    <w:p w14:paraId="519AB2D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3.比价人应当自中标人确定之日起2个工作日内，在重庆市政府采购网上公告中标结果。中标公告期限为1个工作日。</w:t>
      </w:r>
    </w:p>
    <w:p w14:paraId="36CB63C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4.中标人变更</w:t>
      </w:r>
    </w:p>
    <w:p w14:paraId="33BEBCC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中标人拒绝与比价人签订合同的，比价人可以按照评标报告推荐的中标候选人顺序，确定下一位的候选人为中标人，也可以重新开展政府采购活动。</w:t>
      </w:r>
    </w:p>
    <w:p w14:paraId="375DEE9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中标人无正当理由拒绝签订政府采购合同的，比价人报告本级财政部门处理。</w:t>
      </w:r>
    </w:p>
    <w:p w14:paraId="299638AC">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608" w:name="_Toc17331"/>
      <w:bookmarkStart w:id="609" w:name="_Toc9559"/>
      <w:bookmarkStart w:id="610" w:name="_Toc19033"/>
      <w:bookmarkStart w:id="611" w:name="_Toc20519"/>
      <w:bookmarkStart w:id="612" w:name="_Toc1679"/>
      <w:bookmarkStart w:id="613" w:name="_Toc25109"/>
      <w:bookmarkStart w:id="614" w:name="_Toc20140"/>
      <w:bookmarkStart w:id="615" w:name="_Toc14481"/>
      <w:bookmarkStart w:id="616" w:name="_Toc63600434"/>
      <w:bookmarkStart w:id="617" w:name="_Toc20489896"/>
      <w:bookmarkStart w:id="618" w:name="_Toc13051"/>
      <w:bookmarkStart w:id="619" w:name="_Toc11197"/>
      <w:bookmarkStart w:id="620" w:name="_Toc7213"/>
      <w:bookmarkStart w:id="621" w:name="_Toc20488340"/>
      <w:bookmarkStart w:id="622" w:name="_Toc13349"/>
      <w:bookmarkStart w:id="623" w:name="_Toc23283"/>
      <w:r>
        <w:rPr>
          <w:rFonts w:hint="eastAsia" w:ascii="仿宋" w:hAnsi="仿宋" w:eastAsia="仿宋" w:cs="仿宋"/>
          <w:color w:val="000000" w:themeColor="text1"/>
          <w:szCs w:val="28"/>
          <w14:textFill>
            <w14:solidFill>
              <w14:schemeClr w14:val="tx1"/>
            </w14:solidFill>
          </w14:textFill>
        </w:rPr>
        <w:t>七、中标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308EBF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（一）在公告中标结果的同时，比价人应当向中标人发出中标通知书。</w:t>
      </w:r>
    </w:p>
    <w:p w14:paraId="08510F2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（二）中标通知书发出后，比价人不得违法改变中标结果，中标人无正当理由不得放弃中标。</w:t>
      </w:r>
    </w:p>
    <w:p w14:paraId="28BF8D16">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624" w:name="_Toc4913"/>
      <w:bookmarkStart w:id="625" w:name="_Toc26606"/>
      <w:bookmarkStart w:id="626" w:name="_Toc63600435"/>
      <w:bookmarkStart w:id="627" w:name="_Toc20588"/>
      <w:bookmarkStart w:id="628" w:name="_Toc29275"/>
      <w:bookmarkStart w:id="629" w:name="_Toc7721"/>
      <w:bookmarkStart w:id="630" w:name="_Toc5008"/>
      <w:bookmarkStart w:id="631" w:name="_Toc3020"/>
      <w:bookmarkStart w:id="632" w:name="_Toc28774"/>
      <w:bookmarkStart w:id="633" w:name="_Toc24538"/>
      <w:bookmarkStart w:id="634" w:name="_Toc409189637"/>
      <w:bookmarkStart w:id="635" w:name="_Toc12721"/>
      <w:bookmarkStart w:id="636" w:name="_Toc21190"/>
      <w:bookmarkStart w:id="637" w:name="_Toc19327"/>
      <w:bookmarkStart w:id="638" w:name="_Toc20488341"/>
      <w:bookmarkStart w:id="639" w:name="_Toc27782"/>
      <w:bookmarkStart w:id="640" w:name="_Toc20489897"/>
      <w:r>
        <w:rPr>
          <w:rFonts w:hint="eastAsia" w:ascii="仿宋" w:hAnsi="仿宋" w:eastAsia="仿宋" w:cs="仿宋"/>
          <w:color w:val="000000" w:themeColor="text1"/>
          <w:szCs w:val="28"/>
          <w14:textFill>
            <w14:solidFill>
              <w14:schemeClr w14:val="tx1"/>
            </w14:solidFill>
          </w14:textFill>
        </w:rPr>
        <w:t>八、询问、质疑和投诉</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79452C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（一）询问</w:t>
      </w:r>
    </w:p>
    <w:p w14:paraId="7037BBE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比价人应当在3个工作日内对竞价人依法提出的询问作出答复。竞价人询问可以是口头或书面形式。</w:t>
      </w:r>
    </w:p>
    <w:p w14:paraId="2530396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（二）质疑</w:t>
      </w:r>
    </w:p>
    <w:p w14:paraId="4617E08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竞价人认为采购文件、采购过程和中标结果使自己的权益受到伤害的，可向比价人以书面形式提出质疑。</w:t>
      </w:r>
    </w:p>
    <w:p w14:paraId="1D0DF51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提出质疑的应当是参与所质疑项目采购活动的竞价人。 </w:t>
      </w:r>
    </w:p>
    <w:p w14:paraId="3B80167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1.质疑时限、内容</w:t>
      </w:r>
    </w:p>
    <w:p w14:paraId="3BEBE73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1.1竞价人对竞价文件提出质疑的，应在依法获取竞价文件之日或者竞价文件公告期限届满之日起七个工作日内提出。</w:t>
      </w:r>
    </w:p>
    <w:p w14:paraId="64131EF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 竞价人对采购过程提出质疑的，应在各采购程序环节结束之日起七个工作日内提出。</w:t>
      </w:r>
    </w:p>
    <w:p w14:paraId="4C97198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1.3竞价人对中标结果提出质疑的，应当在中标结果公告期限届满之日起七个工作日内提出。</w:t>
      </w:r>
    </w:p>
    <w:p w14:paraId="5BBC4F26">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1.4竞价人提出质疑应当提交质疑函和必要的证明材料，质疑函应当包括下列内容：</w:t>
      </w:r>
    </w:p>
    <w:p w14:paraId="62355A97">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1.4.1竞价人的姓名或者名称、地址、邮编、联系人及联系电话；</w:t>
      </w:r>
    </w:p>
    <w:p w14:paraId="33E1416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1.4.2质疑项目的名称、项目编号以及采购执行编号；</w:t>
      </w:r>
    </w:p>
    <w:p w14:paraId="6395D6A4">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1.4.3具体、明确的质疑事项和与质疑事项相关的请求；</w:t>
      </w:r>
    </w:p>
    <w:p w14:paraId="06583875">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1.4.4事实依据；</w:t>
      </w:r>
    </w:p>
    <w:p w14:paraId="017AA30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1.4.5必要的法律依据；</w:t>
      </w:r>
    </w:p>
    <w:p w14:paraId="58CD9BD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1.4.6提出质疑的日期；</w:t>
      </w:r>
    </w:p>
    <w:p w14:paraId="62E12FF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1.4.7营业执照（或事业单位法人证书，或个体工商户营业执照或有效的自然人身份证明）复印件；</w:t>
      </w:r>
    </w:p>
    <w:p w14:paraId="73FA3BB8">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1.4.8法定代表人授权委托书原件、法定代表人身份证复印件和其授权代表的身份证复印件（竞价人为自然人的提供自然人身份证复印件）；</w:t>
      </w:r>
    </w:p>
    <w:p w14:paraId="61D200F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1.5竞价人为自然人的，质疑函应当由本人签字；竞价人为法人或者其他组织的，质疑函应当由法定代表人、主要负责人，或者其授权代表签字或者盖章，并加盖公章。</w:t>
      </w:r>
    </w:p>
    <w:p w14:paraId="507D19E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2.质疑答复</w:t>
      </w:r>
    </w:p>
    <w:p w14:paraId="6A5819B2">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比价人不得拒收质疑竞价人在法定质疑期内发出的质疑函，应当在收到质疑函后7个工作日内作出答复，并以书面形式通知质疑竞价人和其他有关竞价人。</w:t>
      </w:r>
    </w:p>
    <w:p w14:paraId="50DEACE3">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3.其他</w:t>
      </w:r>
    </w:p>
    <w:p w14:paraId="099B5789">
      <w:pPr>
        <w:ind w:firstLine="56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3.1竞价人应按照《政府采购质疑和投诉办法》（财政部令第94号）及相关法律法规要求，在法定质疑期内一次性提出针对同一采购程序环节的质疑。</w:t>
      </w:r>
    </w:p>
    <w:p w14:paraId="2779D8CB">
      <w:pPr>
        <w:ind w:firstLine="56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3.2质疑函范本可在财政部门户网站、中国政府采购网</w:t>
      </w:r>
      <w:bookmarkStart w:id="641" w:name="_Hlk84610053"/>
      <w:r>
        <w:rPr>
          <w:rFonts w:hint="eastAsia" w:ascii="仿宋" w:hAnsi="仿宋" w:eastAsia="仿宋" w:cs="仿宋"/>
          <w:b/>
          <w:bCs/>
          <w:color w:val="000000" w:themeColor="text1"/>
          <w:sz w:val="28"/>
          <w:szCs w:val="28"/>
          <w14:textFill>
            <w14:solidFill>
              <w14:schemeClr w14:val="tx1"/>
            </w14:solidFill>
          </w14:textFill>
        </w:rPr>
        <w:t>和重庆市政府采购网</w:t>
      </w:r>
      <w:bookmarkEnd w:id="641"/>
      <w:r>
        <w:rPr>
          <w:rFonts w:hint="eastAsia" w:ascii="仿宋" w:hAnsi="仿宋" w:eastAsia="仿宋" w:cs="仿宋"/>
          <w:b/>
          <w:bCs/>
          <w:color w:val="000000" w:themeColor="text1"/>
          <w:sz w:val="28"/>
          <w:szCs w:val="28"/>
          <w14:textFill>
            <w14:solidFill>
              <w14:schemeClr w14:val="tx1"/>
            </w14:solidFill>
          </w14:textFill>
        </w:rPr>
        <w:t>下载。</w:t>
      </w:r>
    </w:p>
    <w:p w14:paraId="087EBC2A">
      <w:pPr>
        <w:snapToGrid w:val="0"/>
        <w:spacing w:line="460" w:lineRule="exact"/>
        <w:ind w:firstLine="56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3.3若竞价人（或潜在竞价人）提出的书面质疑不符合上述有关要求，比价人有权要求竞价人进行完善，对拒不完善的，比价人有权拒绝受理。</w:t>
      </w:r>
    </w:p>
    <w:p w14:paraId="010557A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4.质疑联系方式详见第一篇“联系方式”。</w:t>
      </w:r>
    </w:p>
    <w:p w14:paraId="44FF49BA">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（三）投诉</w:t>
      </w:r>
    </w:p>
    <w:p w14:paraId="10BC2BAF">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1.竞价人对比价人的答复不满意，或者比价人未在规定时间内作出答复的，可以在答复期满后15个工作日内按照相关法律法规向财政部门提起投诉。</w:t>
      </w:r>
    </w:p>
    <w:p w14:paraId="1DE47F9D">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2.竞价人应按照《政府采购质疑和投诉办法》（财政部令第94号）及相关法律法规要求递交投诉书和必要的证明材料。投诉书范本可在财政部门户网站、中国政府采购网和重庆市政府采购网下载。</w:t>
      </w:r>
    </w:p>
    <w:p w14:paraId="620075DC">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6B6723B">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4.在确定受理投诉后，财政部门自受理投诉之日起30个工作日内（需要检验、检测、鉴定、专家评审以及需要投诉人补正材料的，所需时间不计算在投诉处理期限内）对投诉事项做出处理决定。</w:t>
      </w:r>
    </w:p>
    <w:p w14:paraId="60491E31">
      <w:pPr>
        <w:pStyle w:val="3"/>
        <w:spacing w:before="120" w:after="120"/>
        <w:ind w:firstLine="562"/>
        <w:rPr>
          <w:rFonts w:hint="eastAsia" w:ascii="仿宋" w:hAnsi="仿宋" w:eastAsia="仿宋" w:cs="仿宋"/>
          <w:color w:val="000000" w:themeColor="text1"/>
          <w:szCs w:val="28"/>
          <w14:textFill>
            <w14:solidFill>
              <w14:schemeClr w14:val="tx1"/>
            </w14:solidFill>
          </w14:textFill>
        </w:rPr>
      </w:pPr>
      <w:bookmarkStart w:id="642" w:name="_Toc2430"/>
      <w:bookmarkStart w:id="643" w:name="_Toc11667"/>
      <w:bookmarkStart w:id="644" w:name="_Toc8583"/>
      <w:bookmarkStart w:id="645" w:name="_Toc9319"/>
      <w:bookmarkStart w:id="646" w:name="_Toc20488342"/>
      <w:bookmarkStart w:id="647" w:name="_Toc6609"/>
      <w:bookmarkStart w:id="648" w:name="_Toc30244"/>
      <w:bookmarkStart w:id="649" w:name="_Toc20489898"/>
      <w:bookmarkStart w:id="650" w:name="_Toc495592668"/>
      <w:bookmarkStart w:id="651" w:name="_Toc63600436"/>
      <w:bookmarkStart w:id="652" w:name="_Toc31800"/>
      <w:bookmarkStart w:id="653" w:name="_Toc10283"/>
      <w:bookmarkStart w:id="654" w:name="_Toc10492"/>
      <w:bookmarkStart w:id="655" w:name="_Toc10592"/>
      <w:bookmarkStart w:id="656" w:name="_Toc5199"/>
      <w:bookmarkStart w:id="657" w:name="_Toc22300"/>
      <w:bookmarkStart w:id="658" w:name="_Toc12603"/>
      <w:bookmarkStart w:id="659" w:name="_Toc17309"/>
      <w:r>
        <w:rPr>
          <w:rFonts w:hint="eastAsia" w:ascii="仿宋" w:hAnsi="仿宋" w:eastAsia="仿宋" w:cs="仿宋"/>
          <w:color w:val="000000" w:themeColor="text1"/>
          <w:szCs w:val="28"/>
          <w14:textFill>
            <w14:solidFill>
              <w14:schemeClr w14:val="tx1"/>
            </w14:solidFill>
          </w14:textFill>
        </w:rPr>
        <w:t>九、签订合同</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7018390E">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一）比价人原则上自中标通知书发出之日起20日内，按照竞价文件和中标人竞价文件的约定，与中标人签订书面合同，无正当理由不得拒绝或拖延合同签订。所签订的合同不得对竞价文件和中标人竞价文件作实质性修改。其他未尽事宜由比价人和中标人在采购合同中详细约定。 </w:t>
      </w:r>
    </w:p>
    <w:p w14:paraId="6C51C69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（二）竞价文件、中标人的竞价文件及澄清文件等，均为签订政府采购合同的依据。</w:t>
      </w:r>
    </w:p>
    <w:p w14:paraId="183BABE1">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（三）合同生效条款由供需双方约定，法律、行政法规规定应当办理批准、登记等手续后生效的合同，依照其规定。</w:t>
      </w:r>
    </w:p>
    <w:p w14:paraId="443D8C50">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（四）合同原则上应按照《重庆市政府采购合同》签订，相关单位要求适用合同通用格式版本的，应按其要求另行签订其他合同。</w:t>
      </w:r>
    </w:p>
    <w:p w14:paraId="083CAE09">
      <w:pPr>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（五）比价人要求中标人提供履约保证金的，应当在竞价文件中予以约定。中标人履约完毕后，比价人应按竞价文件及合同的约定无息退还其履约保证金。</w:t>
      </w:r>
    </w:p>
    <w:p w14:paraId="1AED4200">
      <w:pPr>
        <w:pStyle w:val="3"/>
        <w:spacing w:before="120" w:after="120" w:line="460" w:lineRule="exact"/>
        <w:ind w:firstLine="562"/>
        <w:rPr>
          <w:rFonts w:hint="eastAsia" w:ascii="仿宋" w:hAnsi="仿宋" w:eastAsia="仿宋" w:cs="仿宋"/>
          <w:bCs/>
          <w:color w:val="000000" w:themeColor="text1"/>
          <w:szCs w:val="28"/>
          <w14:textFill>
            <w14:solidFill>
              <w14:schemeClr w14:val="tx1"/>
            </w14:solidFill>
          </w14:textFill>
        </w:rPr>
      </w:pPr>
      <w:bookmarkStart w:id="660" w:name="_Toc23671"/>
      <w:bookmarkStart w:id="661" w:name="_Toc11558"/>
      <w:bookmarkStart w:id="662" w:name="_Toc11349"/>
      <w:bookmarkStart w:id="663" w:name="_Toc23965"/>
      <w:bookmarkStart w:id="664" w:name="_Toc26438"/>
      <w:bookmarkStart w:id="665" w:name="_Toc25795"/>
      <w:bookmarkStart w:id="666" w:name="_Toc4207"/>
      <w:bookmarkStart w:id="667" w:name="_Toc1406"/>
      <w:bookmarkStart w:id="668" w:name="_Toc13934"/>
      <w:bookmarkStart w:id="669" w:name="_Toc9393"/>
      <w:bookmarkStart w:id="670" w:name="_Toc22427"/>
      <w:bookmarkStart w:id="671" w:name="_Toc29139"/>
      <w:bookmarkStart w:id="672" w:name="_Toc13027"/>
      <w:bookmarkStart w:id="673" w:name="_Toc26613"/>
      <w:bookmarkStart w:id="674" w:name="_Toc3104"/>
      <w:bookmarkStart w:id="675" w:name="_Toc23823"/>
      <w:bookmarkStart w:id="676" w:name="_Toc106030411"/>
      <w:bookmarkStart w:id="677" w:name="_Toc4923"/>
      <w:r>
        <w:rPr>
          <w:rFonts w:hint="eastAsia" w:ascii="仿宋" w:hAnsi="仿宋" w:eastAsia="仿宋" w:cs="仿宋"/>
          <w:bCs/>
          <w:color w:val="000000" w:themeColor="text1"/>
          <w:szCs w:val="28"/>
          <w14:textFill>
            <w14:solidFill>
              <w14:schemeClr w14:val="tx1"/>
            </w14:solidFill>
          </w14:textFill>
        </w:rPr>
        <w:t>十、</w:t>
      </w:r>
      <w:bookmarkEnd w:id="660"/>
      <w:bookmarkEnd w:id="661"/>
      <w:bookmarkEnd w:id="662"/>
      <w:bookmarkEnd w:id="663"/>
      <w:r>
        <w:rPr>
          <w:rFonts w:hint="eastAsia" w:ascii="仿宋" w:hAnsi="仿宋" w:eastAsia="仿宋" w:cs="仿宋"/>
          <w:bCs/>
          <w:color w:val="000000" w:themeColor="text1"/>
          <w:szCs w:val="28"/>
          <w14:textFill>
            <w14:solidFill>
              <w14:schemeClr w14:val="tx1"/>
            </w14:solidFill>
          </w14:textFill>
        </w:rPr>
        <w:t>项目验收</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1B09AC5B">
      <w:pPr>
        <w:spacing w:line="4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合同执行完毕，比价人原则上应在7个工作日内组织履约情况验收，不得无故拖延或附加额外条件。</w:t>
      </w:r>
    </w:p>
    <w:p w14:paraId="5D25D4EE">
      <w:pPr>
        <w:spacing w:line="460" w:lineRule="exact"/>
        <w:ind w:firstLine="560"/>
        <w:rPr>
          <w:rFonts w:hint="eastAsia" w:ascii="仿宋" w:hAnsi="仿宋" w:eastAsia="仿宋" w:cs="仿宋"/>
          <w:color w:val="000000" w:themeColor="text1"/>
          <w:sz w:val="28"/>
          <w:szCs w:val="28"/>
          <w14:textFill>
            <w14:solidFill>
              <w14:schemeClr w14:val="tx1"/>
            </w14:solidFill>
          </w14:textFill>
        </w:rPr>
      </w:pPr>
      <w:bookmarkStart w:id="678" w:name="_Toc7028"/>
      <w:bookmarkStart w:id="679" w:name="_Toc28618"/>
      <w:bookmarkStart w:id="680" w:name="_Toc63600438"/>
      <w:bookmarkStart w:id="681" w:name="_Toc409189639"/>
      <w:bookmarkStart w:id="682" w:name="_Toc384905082"/>
    </w:p>
    <w:p w14:paraId="0F669F4E">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6EFA3BF0">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10DA66C5">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25A53B5B">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4EE2D6D8">
      <w:pPr>
        <w:pStyle w:val="42"/>
        <w:rPr>
          <w:rFonts w:hint="eastAsia" w:ascii="方正仿宋_GBK" w:hAnsi="宋体" w:eastAsia="方正仿宋_GBK" w:cs="宋体"/>
          <w:b/>
          <w:color w:val="000000" w:themeColor="text1"/>
          <w14:textFill>
            <w14:solidFill>
              <w14:schemeClr w14:val="tx1"/>
            </w14:solidFill>
          </w14:textFill>
        </w:rPr>
      </w:pPr>
    </w:p>
    <w:p w14:paraId="6F58EC91">
      <w:pPr>
        <w:pStyle w:val="42"/>
        <w:rPr>
          <w:rFonts w:hint="eastAsia" w:ascii="方正仿宋_GBK" w:hAnsi="宋体" w:eastAsia="方正仿宋_GBK" w:cs="宋体"/>
          <w:b/>
          <w:color w:val="000000" w:themeColor="text1"/>
          <w14:textFill>
            <w14:solidFill>
              <w14:schemeClr w14:val="tx1"/>
            </w14:solidFill>
          </w14:textFill>
        </w:rPr>
      </w:pPr>
    </w:p>
    <w:p w14:paraId="4178572F">
      <w:pPr>
        <w:pStyle w:val="42"/>
        <w:rPr>
          <w:rFonts w:hint="eastAsia" w:ascii="方正仿宋_GBK" w:hAnsi="宋体" w:eastAsia="方正仿宋_GBK" w:cs="宋体"/>
          <w:b/>
          <w:color w:val="000000" w:themeColor="text1"/>
          <w14:textFill>
            <w14:solidFill>
              <w14:schemeClr w14:val="tx1"/>
            </w14:solidFill>
          </w14:textFill>
        </w:rPr>
      </w:pPr>
    </w:p>
    <w:p w14:paraId="40B57E1E">
      <w:pPr>
        <w:pStyle w:val="42"/>
        <w:rPr>
          <w:rFonts w:hint="eastAsia" w:ascii="方正仿宋_GBK" w:hAnsi="宋体" w:eastAsia="方正仿宋_GBK" w:cs="宋体"/>
          <w:b/>
          <w:color w:val="000000" w:themeColor="text1"/>
          <w14:textFill>
            <w14:solidFill>
              <w14:schemeClr w14:val="tx1"/>
            </w14:solidFill>
          </w14:textFill>
        </w:rPr>
      </w:pPr>
    </w:p>
    <w:p w14:paraId="0DB408C9">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4EC1D039">
      <w:pPr>
        <w:spacing w:line="460" w:lineRule="exact"/>
        <w:ind w:left="557" w:leftChars="232" w:firstLine="0" w:firstLineChars="0"/>
        <w:rPr>
          <w:rFonts w:hint="eastAsia" w:ascii="方正仿宋_GBK" w:hAnsi="宋体" w:eastAsia="方正仿宋_GBK" w:cs="宋体"/>
          <w:b/>
          <w:color w:val="000000" w:themeColor="text1"/>
          <w14:textFill>
            <w14:solidFill>
              <w14:schemeClr w14:val="tx1"/>
            </w14:solidFill>
          </w14:textFill>
        </w:rPr>
      </w:pPr>
    </w:p>
    <w:p w14:paraId="7C5E064D">
      <w:pPr>
        <w:spacing w:line="460" w:lineRule="exact"/>
        <w:ind w:left="557" w:leftChars="232" w:firstLine="0" w:firstLineChars="0"/>
        <w:rPr>
          <w:rFonts w:hint="eastAsia" w:ascii="方正仿宋_GBK" w:hAnsi="宋体" w:eastAsia="方正仿宋_GBK" w:cs="宋体"/>
          <w:b/>
          <w:color w:val="000000" w:themeColor="text1"/>
          <w:kern w:val="0"/>
          <w:sz w:val="44"/>
          <w14:textFill>
            <w14:solidFill>
              <w14:schemeClr w14:val="tx1"/>
            </w14:solidFill>
          </w14:textFill>
        </w:rPr>
      </w:pPr>
      <w:r>
        <w:rPr>
          <w:rFonts w:hint="eastAsia" w:ascii="方正仿宋_GBK" w:hAnsi="宋体" w:eastAsia="方正仿宋_GBK" w:cs="宋体"/>
          <w:b/>
          <w:color w:val="000000" w:themeColor="text1"/>
          <w:kern w:val="0"/>
          <w:sz w:val="44"/>
          <w14:textFill>
            <w14:solidFill>
              <w14:schemeClr w14:val="tx1"/>
            </w14:solidFill>
          </w14:textFill>
        </w:rPr>
        <w:t>第六篇  合同主要条款和格式合同（样本）</w:t>
      </w:r>
      <w:bookmarkEnd w:id="678"/>
      <w:bookmarkEnd w:id="679"/>
      <w:bookmarkEnd w:id="680"/>
      <w:bookmarkStart w:id="683" w:name="_Hlk70156864"/>
    </w:p>
    <w:p w14:paraId="3E24B1E2">
      <w:pPr>
        <w:ind w:firstLine="480"/>
        <w:rPr>
          <w:rFonts w:hint="eastAsia" w:ascii="方正仿宋_GBK" w:eastAsia="方正仿宋_GBK"/>
          <w:color w:val="000000" w:themeColor="text1"/>
          <w14:textFill>
            <w14:solidFill>
              <w14:schemeClr w14:val="tx1"/>
            </w14:solidFill>
          </w14:textFill>
        </w:rPr>
      </w:pPr>
    </w:p>
    <w:p w14:paraId="20C8F2F6">
      <w:pPr>
        <w:widowControl/>
        <w:snapToGrid w:val="0"/>
        <w:spacing w:line="360" w:lineRule="auto"/>
        <w:ind w:firstLine="0" w:firstLineChars="0"/>
        <w:jc w:val="center"/>
        <w:rPr>
          <w:rFonts w:hint="eastAsia" w:ascii="方正仿宋_GBK" w:hAnsi="宋体" w:eastAsia="方正仿宋_GBK" w:cs="宋体"/>
          <w:b/>
          <w:color w:val="000000" w:themeColor="text1"/>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567" w:footer="63" w:gutter="0"/>
          <w:pgNumType w:fmt="numberInDash"/>
          <w:cols w:space="720" w:num="1"/>
          <w:docGrid w:linePitch="380" w:charSpace="-5735"/>
        </w:sectPr>
      </w:pPr>
      <w:r>
        <w:rPr>
          <w:rFonts w:hint="eastAsia" w:ascii="方正仿宋_GBK" w:hAnsi="宋体" w:eastAsia="方正仿宋_GBK" w:cs="宋体"/>
          <w:b/>
          <w:color w:val="000000" w:themeColor="text1"/>
          <w:szCs w:val="28"/>
          <w14:textFill>
            <w14:solidFill>
              <w14:schemeClr w14:val="tx1"/>
            </w14:solidFill>
          </w14:textFill>
        </w:rPr>
        <w:t>（可根据项目情况修改完善或自拟签订）</w:t>
      </w:r>
    </w:p>
    <w:p w14:paraId="581D8242">
      <w:pPr>
        <w:tabs>
          <w:tab w:val="center" w:pos="4153"/>
        </w:tabs>
        <w:spacing w:line="320" w:lineRule="exact"/>
        <w:ind w:firstLine="482"/>
        <w:jc w:val="center"/>
        <w:rPr>
          <w:rFonts w:hint="eastAsia" w:ascii="仿宋" w:hAnsi="仿宋" w:eastAsia="仿宋" w:cs="仿宋"/>
          <w:b/>
          <w:color w:val="000000" w:themeColor="text1"/>
          <w:szCs w:val="21"/>
          <w14:textFill>
            <w14:solidFill>
              <w14:schemeClr w14:val="tx1"/>
            </w14:solidFill>
          </w14:textFill>
        </w:rPr>
      </w:pPr>
    </w:p>
    <w:p w14:paraId="7F1B1555">
      <w:pPr>
        <w:spacing w:line="360" w:lineRule="auto"/>
        <w:ind w:firstLine="562"/>
        <w:rPr>
          <w:rFonts w:hint="eastAsia" w:ascii="仿宋" w:hAnsi="仿宋" w:eastAsia="仿宋" w:cs="仿宋"/>
          <w:b/>
          <w:color w:val="000000" w:themeColor="text1"/>
          <w:sz w:val="28"/>
          <w:u w:val="single"/>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甲方（比价人）：</w:t>
      </w:r>
      <w:r>
        <w:rPr>
          <w:rFonts w:hint="eastAsia" w:ascii="仿宋" w:hAnsi="仿宋" w:eastAsia="仿宋" w:cs="仿宋"/>
          <w:color w:val="000000" w:themeColor="text1"/>
          <w:sz w:val="28"/>
          <w:u w:val="single"/>
          <w14:textFill>
            <w14:solidFill>
              <w14:schemeClr w14:val="tx1"/>
            </w14:solidFill>
          </w14:textFill>
        </w:rPr>
        <w:t>重庆市农产品集团食品科技有限公司</w:t>
      </w:r>
    </w:p>
    <w:p w14:paraId="4D0E6BA5">
      <w:pPr>
        <w:spacing w:line="360" w:lineRule="auto"/>
        <w:ind w:firstLine="562"/>
        <w:rPr>
          <w:rFonts w:hint="eastAsia" w:ascii="仿宋" w:hAnsi="仿宋" w:eastAsia="仿宋" w:cs="仿宋"/>
          <w:color w:val="000000" w:themeColor="text1"/>
          <w:sz w:val="28"/>
          <w:u w:val="single"/>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乙方（中标人）</w:t>
      </w:r>
      <w:r>
        <w:rPr>
          <w:rFonts w:hint="eastAsia" w:ascii="仿宋" w:hAnsi="仿宋" w:eastAsia="仿宋" w:cs="仿宋"/>
          <w:color w:val="000000" w:themeColor="text1"/>
          <w:sz w:val="28"/>
          <w14:textFill>
            <w14:solidFill>
              <w14:schemeClr w14:val="tx1"/>
            </w14:solidFill>
          </w14:textFill>
        </w:rPr>
        <w:t>：</w:t>
      </w:r>
    </w:p>
    <w:p w14:paraId="3D4465E5">
      <w:pPr>
        <w:spacing w:before="120" w:beforeLines="50" w:after="120" w:afterLines="50"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在甲方绞肉机及配套设备采购项目（编号：）招标中，根据乙方对甲方招标项目的响应情况，经甲方开标评定，确定乙方为本项目的最终中标人，经甲乙双方协商，订立合同如下：</w:t>
      </w:r>
    </w:p>
    <w:p w14:paraId="0405CA93">
      <w:pPr>
        <w:spacing w:before="120" w:beforeLines="50" w:after="120" w:afterLines="50" w:line="360" w:lineRule="auto"/>
        <w:ind w:firstLine="482"/>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第一条 合同文件</w:t>
      </w:r>
    </w:p>
    <w:p w14:paraId="6D392EB5">
      <w:pPr>
        <w:tabs>
          <w:tab w:val="left" w:pos="426"/>
        </w:tabs>
        <w:autoSpaceDE w:val="0"/>
        <w:autoSpaceDN w:val="0"/>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下述文件组成本合同不可分割的部分，与合同条款具有同等效力。</w:t>
      </w:r>
    </w:p>
    <w:p w14:paraId="45C1D6A1">
      <w:pPr>
        <w:autoSpaceDE w:val="0"/>
        <w:autoSpaceDN w:val="0"/>
        <w:adjustRightInd w:val="0"/>
        <w:spacing w:before="120" w:beforeLines="50" w:line="360" w:lineRule="auto"/>
        <w:ind w:firstLine="480"/>
        <w:textAlignment w:val="baseline"/>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1、中标通知书。</w:t>
      </w:r>
    </w:p>
    <w:p w14:paraId="3853C883">
      <w:pPr>
        <w:tabs>
          <w:tab w:val="left" w:pos="851"/>
        </w:tabs>
        <w:autoSpaceDE w:val="0"/>
        <w:autoSpaceDN w:val="0"/>
        <w:adjustRightInd w:val="0"/>
        <w:spacing w:line="360" w:lineRule="auto"/>
        <w:ind w:firstLine="480"/>
        <w:textAlignment w:val="baseline"/>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2、双方授权代表签字并指明的书面文件：所有竞价文件及附件、竞价文件及经双方确认的与本合同相关的其它书面文件均为本合同之有效组成部分。其中涉及修改和新增的部分，以双方最终确认的文件为准。</w:t>
      </w:r>
    </w:p>
    <w:p w14:paraId="01402442">
      <w:pPr>
        <w:spacing w:before="120" w:beforeLines="50" w:after="120" w:afterLines="50" w:line="400" w:lineRule="exact"/>
        <w:ind w:firstLine="482"/>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第二条 标的物、数量、价款</w:t>
      </w:r>
    </w:p>
    <w:tbl>
      <w:tblPr>
        <w:tblStyle w:val="33"/>
        <w:tblW w:w="0" w:type="auto"/>
        <w:jc w:val="center"/>
        <w:tblLayout w:type="fixed"/>
        <w:tblCellMar>
          <w:top w:w="0" w:type="dxa"/>
          <w:left w:w="108" w:type="dxa"/>
          <w:bottom w:w="0" w:type="dxa"/>
          <w:right w:w="108" w:type="dxa"/>
        </w:tblCellMar>
      </w:tblPr>
      <w:tblGrid>
        <w:gridCol w:w="1518"/>
        <w:gridCol w:w="1921"/>
        <w:gridCol w:w="1679"/>
        <w:gridCol w:w="939"/>
        <w:gridCol w:w="1789"/>
        <w:gridCol w:w="1828"/>
      </w:tblGrid>
      <w:tr w14:paraId="2198B585">
        <w:tblPrEx>
          <w:tblCellMar>
            <w:top w:w="0" w:type="dxa"/>
            <w:left w:w="108" w:type="dxa"/>
            <w:bottom w:w="0" w:type="dxa"/>
            <w:right w:w="108" w:type="dxa"/>
          </w:tblCellMar>
        </w:tblPrEx>
        <w:trPr>
          <w:trHeight w:val="1034" w:hRule="atLeast"/>
          <w:jc w:val="center"/>
        </w:trPr>
        <w:tc>
          <w:tcPr>
            <w:tcW w:w="3439" w:type="dxa"/>
            <w:gridSpan w:val="2"/>
            <w:tcBorders>
              <w:top w:val="single" w:color="auto" w:sz="4" w:space="0"/>
              <w:left w:val="single" w:color="auto" w:sz="4" w:space="0"/>
              <w:bottom w:val="single" w:color="auto" w:sz="4" w:space="0"/>
              <w:right w:val="single" w:color="auto" w:sz="4" w:space="0"/>
            </w:tcBorders>
            <w:vAlign w:val="center"/>
          </w:tcPr>
          <w:p w14:paraId="14BBA337">
            <w:pPr>
              <w:spacing w:line="400" w:lineRule="exact"/>
              <w:ind w:firstLine="482"/>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标的名称</w:t>
            </w:r>
          </w:p>
        </w:tc>
        <w:tc>
          <w:tcPr>
            <w:tcW w:w="1679" w:type="dxa"/>
            <w:tcBorders>
              <w:top w:val="single" w:color="auto" w:sz="4" w:space="0"/>
              <w:left w:val="single" w:color="auto" w:sz="4" w:space="0"/>
              <w:bottom w:val="single" w:color="000000" w:sz="4" w:space="0"/>
              <w:right w:val="single" w:color="auto" w:sz="4" w:space="0"/>
            </w:tcBorders>
            <w:vAlign w:val="center"/>
          </w:tcPr>
          <w:p w14:paraId="7D712109">
            <w:pPr>
              <w:spacing w:line="400" w:lineRule="exact"/>
              <w:ind w:firstLine="0" w:firstLineChars="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规格/型号</w:t>
            </w:r>
          </w:p>
        </w:tc>
        <w:tc>
          <w:tcPr>
            <w:tcW w:w="939" w:type="dxa"/>
            <w:tcBorders>
              <w:top w:val="single" w:color="auto" w:sz="4" w:space="0"/>
              <w:left w:val="single" w:color="auto" w:sz="4" w:space="0"/>
              <w:bottom w:val="single" w:color="000000" w:sz="4" w:space="0"/>
              <w:right w:val="single" w:color="auto" w:sz="4" w:space="0"/>
            </w:tcBorders>
            <w:vAlign w:val="center"/>
          </w:tcPr>
          <w:p w14:paraId="780D5A7A">
            <w:pPr>
              <w:spacing w:line="400" w:lineRule="exact"/>
              <w:ind w:firstLine="0" w:firstLineChars="0"/>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数量（套）</w:t>
            </w:r>
          </w:p>
        </w:tc>
        <w:tc>
          <w:tcPr>
            <w:tcW w:w="1789" w:type="dxa"/>
            <w:tcBorders>
              <w:top w:val="single" w:color="auto" w:sz="4" w:space="0"/>
              <w:left w:val="single" w:color="auto" w:sz="4" w:space="0"/>
              <w:bottom w:val="single" w:color="000000" w:sz="4" w:space="0"/>
              <w:right w:val="single" w:color="auto" w:sz="4" w:space="0"/>
            </w:tcBorders>
            <w:vAlign w:val="center"/>
          </w:tcPr>
          <w:p w14:paraId="3354FAD3">
            <w:pPr>
              <w:spacing w:line="400" w:lineRule="exact"/>
              <w:ind w:firstLine="482"/>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单价（元）</w:t>
            </w:r>
          </w:p>
        </w:tc>
        <w:tc>
          <w:tcPr>
            <w:tcW w:w="1828" w:type="dxa"/>
            <w:tcBorders>
              <w:top w:val="single" w:color="auto" w:sz="4" w:space="0"/>
              <w:left w:val="single" w:color="auto" w:sz="4" w:space="0"/>
              <w:bottom w:val="single" w:color="000000" w:sz="4" w:space="0"/>
              <w:right w:val="single" w:color="auto" w:sz="4" w:space="0"/>
            </w:tcBorders>
            <w:vAlign w:val="center"/>
          </w:tcPr>
          <w:p w14:paraId="5E2737E8">
            <w:pPr>
              <w:spacing w:line="400" w:lineRule="exact"/>
              <w:ind w:firstLine="482"/>
              <w:jc w:val="center"/>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合价（元）</w:t>
            </w:r>
          </w:p>
        </w:tc>
      </w:tr>
      <w:tr w14:paraId="573D10B4">
        <w:tblPrEx>
          <w:tblCellMar>
            <w:top w:w="0" w:type="dxa"/>
            <w:left w:w="108" w:type="dxa"/>
            <w:bottom w:w="0" w:type="dxa"/>
            <w:right w:w="108" w:type="dxa"/>
          </w:tblCellMar>
        </w:tblPrEx>
        <w:trPr>
          <w:trHeight w:val="1290" w:hRule="atLeast"/>
          <w:jc w:val="center"/>
        </w:trPr>
        <w:tc>
          <w:tcPr>
            <w:tcW w:w="3439" w:type="dxa"/>
            <w:gridSpan w:val="2"/>
            <w:tcBorders>
              <w:top w:val="single" w:color="auto" w:sz="4" w:space="0"/>
              <w:left w:val="single" w:color="auto" w:sz="4" w:space="0"/>
              <w:right w:val="single" w:color="auto" w:sz="4" w:space="0"/>
            </w:tcBorders>
            <w:vAlign w:val="center"/>
          </w:tcPr>
          <w:p w14:paraId="7A787AEA">
            <w:pPr>
              <w:spacing w:before="120" w:beforeLines="50" w:after="120" w:afterLines="50" w:line="400" w:lineRule="exact"/>
              <w:ind w:firstLine="480"/>
              <w:jc w:val="center"/>
              <w:rPr>
                <w:rFonts w:hint="eastAsia" w:ascii="仿宋" w:hAnsi="仿宋" w:eastAsia="仿宋" w:cs="仿宋"/>
                <w:color w:val="000000" w:themeColor="text1"/>
                <w:szCs w:val="24"/>
                <w14:textFill>
                  <w14:solidFill>
                    <w14:schemeClr w14:val="tx1"/>
                  </w14:solidFill>
                </w14:textFill>
              </w:rPr>
            </w:pPr>
          </w:p>
        </w:tc>
        <w:tc>
          <w:tcPr>
            <w:tcW w:w="1679" w:type="dxa"/>
            <w:tcBorders>
              <w:top w:val="nil"/>
              <w:left w:val="single" w:color="auto" w:sz="4" w:space="0"/>
              <w:right w:val="single" w:color="auto" w:sz="4" w:space="0"/>
            </w:tcBorders>
            <w:vAlign w:val="center"/>
          </w:tcPr>
          <w:p w14:paraId="7B106DC6">
            <w:pPr>
              <w:spacing w:before="120" w:beforeLines="50" w:after="120" w:afterLines="50" w:line="400" w:lineRule="exact"/>
              <w:ind w:firstLine="480"/>
              <w:jc w:val="center"/>
              <w:rPr>
                <w:rFonts w:hint="eastAsia" w:ascii="仿宋" w:hAnsi="仿宋" w:eastAsia="仿宋" w:cs="仿宋"/>
                <w:color w:val="000000" w:themeColor="text1"/>
                <w:szCs w:val="24"/>
                <w14:textFill>
                  <w14:solidFill>
                    <w14:schemeClr w14:val="tx1"/>
                  </w14:solidFill>
                </w14:textFill>
              </w:rPr>
            </w:pPr>
          </w:p>
        </w:tc>
        <w:tc>
          <w:tcPr>
            <w:tcW w:w="939" w:type="dxa"/>
            <w:tcBorders>
              <w:top w:val="nil"/>
              <w:left w:val="nil"/>
              <w:right w:val="single" w:color="auto" w:sz="4" w:space="0"/>
            </w:tcBorders>
            <w:vAlign w:val="center"/>
          </w:tcPr>
          <w:p w14:paraId="40502E0E">
            <w:pPr>
              <w:spacing w:before="120" w:beforeLines="50" w:after="120" w:afterLines="50" w:line="400" w:lineRule="exact"/>
              <w:ind w:firstLine="480"/>
              <w:jc w:val="center"/>
              <w:rPr>
                <w:rFonts w:hint="eastAsia" w:ascii="仿宋" w:hAnsi="仿宋" w:eastAsia="仿宋" w:cs="仿宋"/>
                <w:color w:val="000000" w:themeColor="text1"/>
                <w:szCs w:val="24"/>
                <w14:textFill>
                  <w14:solidFill>
                    <w14:schemeClr w14:val="tx1"/>
                  </w14:solidFill>
                </w14:textFill>
              </w:rPr>
            </w:pPr>
          </w:p>
        </w:tc>
        <w:tc>
          <w:tcPr>
            <w:tcW w:w="1789" w:type="dxa"/>
            <w:tcBorders>
              <w:top w:val="nil"/>
              <w:left w:val="nil"/>
              <w:right w:val="single" w:color="auto" w:sz="4" w:space="0"/>
            </w:tcBorders>
            <w:vAlign w:val="center"/>
          </w:tcPr>
          <w:p w14:paraId="5F03A2EE">
            <w:pPr>
              <w:spacing w:before="120" w:beforeLines="50" w:after="120" w:afterLines="50" w:line="400" w:lineRule="exact"/>
              <w:ind w:firstLine="482"/>
              <w:rPr>
                <w:rFonts w:hint="eastAsia" w:ascii="仿宋" w:hAnsi="仿宋" w:eastAsia="仿宋" w:cs="仿宋"/>
                <w:b/>
                <w:color w:val="000000" w:themeColor="text1"/>
                <w:szCs w:val="24"/>
                <w14:textFill>
                  <w14:solidFill>
                    <w14:schemeClr w14:val="tx1"/>
                  </w14:solidFill>
                </w14:textFill>
              </w:rPr>
            </w:pPr>
          </w:p>
        </w:tc>
        <w:tc>
          <w:tcPr>
            <w:tcW w:w="1828" w:type="dxa"/>
            <w:tcBorders>
              <w:top w:val="nil"/>
              <w:left w:val="nil"/>
              <w:bottom w:val="single" w:color="auto" w:sz="4" w:space="0"/>
              <w:right w:val="single" w:color="auto" w:sz="4" w:space="0"/>
            </w:tcBorders>
            <w:vAlign w:val="center"/>
          </w:tcPr>
          <w:p w14:paraId="298E681E">
            <w:pPr>
              <w:spacing w:before="120" w:beforeLines="50" w:after="120" w:afterLines="50" w:line="400" w:lineRule="exact"/>
              <w:ind w:firstLine="482"/>
              <w:rPr>
                <w:rFonts w:hint="eastAsia" w:ascii="仿宋" w:hAnsi="仿宋" w:eastAsia="仿宋" w:cs="仿宋"/>
                <w:b/>
                <w:color w:val="000000" w:themeColor="text1"/>
                <w:szCs w:val="24"/>
                <w14:textFill>
                  <w14:solidFill>
                    <w14:schemeClr w14:val="tx1"/>
                  </w14:solidFill>
                </w14:textFill>
              </w:rPr>
            </w:pPr>
          </w:p>
        </w:tc>
      </w:tr>
      <w:tr w14:paraId="652545AA">
        <w:tblPrEx>
          <w:tblCellMar>
            <w:top w:w="0" w:type="dxa"/>
            <w:left w:w="108" w:type="dxa"/>
            <w:bottom w:w="0" w:type="dxa"/>
            <w:right w:w="108" w:type="dxa"/>
          </w:tblCellMar>
        </w:tblPrEx>
        <w:trPr>
          <w:trHeight w:val="337" w:hRule="atLeast"/>
          <w:jc w:val="center"/>
        </w:trPr>
        <w:tc>
          <w:tcPr>
            <w:tcW w:w="9674" w:type="dxa"/>
            <w:gridSpan w:val="6"/>
            <w:tcBorders>
              <w:top w:val="single" w:color="auto" w:sz="4" w:space="0"/>
              <w:left w:val="single" w:color="auto" w:sz="4" w:space="0"/>
              <w:bottom w:val="single" w:color="auto" w:sz="4" w:space="0"/>
              <w:right w:val="single" w:color="auto" w:sz="4" w:space="0"/>
            </w:tcBorders>
          </w:tcPr>
          <w:p w14:paraId="5CB6A002">
            <w:pPr>
              <w:spacing w:before="120" w:beforeLines="50" w:after="120" w:afterLines="50" w:line="400" w:lineRule="exact"/>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总价：圆整</w:t>
            </w:r>
            <w:r>
              <w:rPr>
                <w:rFonts w:hint="eastAsia" w:ascii="仿宋" w:hAnsi="仿宋" w:eastAsia="仿宋" w:cs="仿宋"/>
                <w:b/>
                <w:color w:val="000000" w:themeColor="text1"/>
                <w:szCs w:val="24"/>
                <w14:textFill>
                  <w14:solidFill>
                    <w14:schemeClr w14:val="tx1"/>
                  </w14:solidFill>
                </w14:textFill>
              </w:rPr>
              <w:t xml:space="preserve">（小写： 元整）   </w:t>
            </w:r>
          </w:p>
        </w:tc>
      </w:tr>
      <w:tr w14:paraId="4373A25E">
        <w:tblPrEx>
          <w:tblCellMar>
            <w:top w:w="0" w:type="dxa"/>
            <w:left w:w="108" w:type="dxa"/>
            <w:bottom w:w="0" w:type="dxa"/>
            <w:right w:w="108" w:type="dxa"/>
          </w:tblCellMar>
        </w:tblPrEx>
        <w:trPr>
          <w:trHeight w:val="416"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61EE7BE6">
            <w:pPr>
              <w:spacing w:line="400" w:lineRule="exact"/>
              <w:ind w:firstLine="480"/>
              <w:jc w:val="center"/>
              <w:rPr>
                <w:rFonts w:hint="eastAsia"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备注</w:t>
            </w:r>
          </w:p>
        </w:tc>
        <w:tc>
          <w:tcPr>
            <w:tcW w:w="8156" w:type="dxa"/>
            <w:gridSpan w:val="5"/>
            <w:tcBorders>
              <w:top w:val="single" w:color="auto" w:sz="4" w:space="0"/>
              <w:left w:val="single" w:color="auto" w:sz="4" w:space="0"/>
              <w:bottom w:val="single" w:color="auto" w:sz="4" w:space="0"/>
              <w:right w:val="single" w:color="auto" w:sz="4" w:space="0"/>
            </w:tcBorders>
            <w:vAlign w:val="center"/>
          </w:tcPr>
          <w:p w14:paraId="15140B09">
            <w:pPr>
              <w:spacing w:line="360" w:lineRule="auto"/>
              <w:ind w:firstLine="480"/>
              <w:rPr>
                <w:rFonts w:hint="eastAsia"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1、表中</w:t>
            </w:r>
            <w:r>
              <w:rPr>
                <w:rFonts w:hint="eastAsia" w:ascii="仿宋" w:hAnsi="仿宋" w:eastAsia="仿宋" w:cs="仿宋"/>
                <w:bCs/>
                <w:color w:val="000000" w:themeColor="text1"/>
                <w:szCs w:val="24"/>
                <w14:textFill>
                  <w14:solidFill>
                    <w14:schemeClr w14:val="tx1"/>
                  </w14:solidFill>
                </w14:textFill>
              </w:rPr>
              <w:t>价格为货物到厂含税价，包括绞肉机及配套设备采购项目的设计、设备选型、采购、安装、调试、培训及相关检测工作等完成本项目的全部工作内容；还包括因质量问题引起的维修和更换、技术指导和培训等费用。该单价中已综合考虑了在合同有效期内的材料设备、机械、人工等所有市场价格波动的风险，在合同有效期内不做任何调整。</w:t>
            </w:r>
          </w:p>
          <w:p w14:paraId="3CF82200">
            <w:pPr>
              <w:pStyle w:val="90"/>
              <w:spacing w:line="360" w:lineRule="auto"/>
              <w:ind w:firstLine="480"/>
              <w:rPr>
                <w:rFonts w:hint="eastAsia"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2、设备的基础土建甲方负责，乙方提供相应条件图纸；</w:t>
            </w:r>
          </w:p>
          <w:p w14:paraId="163D29A7">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3、乙方必须在供货时内提供相关技术文件：总装图，安装示意图、电气原理图、安装使用说明书（含安装、操作与维护说明）、质量检测报告文件、产品合格等资料。</w:t>
            </w:r>
          </w:p>
        </w:tc>
      </w:tr>
    </w:tbl>
    <w:p w14:paraId="4628BA8D">
      <w:pPr>
        <w:spacing w:line="360" w:lineRule="auto"/>
        <w:ind w:firstLine="482"/>
        <w:rPr>
          <w:rFonts w:hint="eastAsia" w:ascii="仿宋" w:hAnsi="仿宋" w:eastAsia="仿宋" w:cs="仿宋"/>
          <w:b/>
          <w:color w:val="000000" w:themeColor="text1"/>
          <w:szCs w:val="24"/>
          <w14:textFill>
            <w14:solidFill>
              <w14:schemeClr w14:val="tx1"/>
            </w14:solidFill>
          </w14:textFill>
        </w:rPr>
      </w:pPr>
    </w:p>
    <w:p w14:paraId="23899B3A">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第三条  技术要求及质量标准</w:t>
      </w:r>
    </w:p>
    <w:p w14:paraId="7114B80A">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设备的技术要求按竞价文件第四章执行，质量标准没有特殊约定的，必须按企业标准、行业标准和国家标准中的较高标准执行，如因设计或材质质量的缺陷，造成设备的质量下降或不符合要求的由乙方承担。</w:t>
      </w:r>
    </w:p>
    <w:p w14:paraId="42E54BC6">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第四条  交提货方式、时间和地点</w:t>
      </w:r>
    </w:p>
    <w:p w14:paraId="7198B362">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乙方将货物送至甲方指定地点，并附上《送货清单》及乙方的出货自检报告或证明（必要时需提供第三方检测的材料性能测试报告供甲方备查）。《送货清单》须列明合同编号及货物信息（货物名称、型号规格、数量等）；卸车由甲方负责，费用由甲方承担，乙方必须派遣相关技术服务人员现场指导。</w:t>
      </w:r>
    </w:p>
    <w:p w14:paraId="0A26A93F">
      <w:pPr>
        <w:spacing w:line="360" w:lineRule="auto"/>
        <w:ind w:firstLine="48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2、交货时间：</w:t>
      </w:r>
      <w:r>
        <w:rPr>
          <w:rFonts w:hint="eastAsia" w:ascii="仿宋" w:hAnsi="仿宋" w:eastAsia="仿宋" w:cs="仿宋"/>
          <w:color w:val="000000" w:themeColor="text1"/>
          <w:kern w:val="0"/>
          <w14:textFill>
            <w14:solidFill>
              <w14:schemeClr w14:val="tx1"/>
            </w14:solidFill>
          </w14:textFill>
        </w:rPr>
        <w:t>自合同签订后预付款之日起</w:t>
      </w:r>
      <w:r>
        <w:rPr>
          <w:rFonts w:hint="eastAsia" w:ascii="仿宋" w:hAnsi="仿宋" w:eastAsia="仿宋" w:cs="仿宋"/>
          <w:color w:val="000000" w:themeColor="text1"/>
          <w:szCs w:val="24"/>
          <w:u w:val="single"/>
          <w14:textFill>
            <w14:solidFill>
              <w14:schemeClr w14:val="tx1"/>
            </w14:solidFill>
          </w14:textFill>
        </w:rPr>
        <w:t>（乙方承诺交货时间）</w:t>
      </w:r>
      <w:r>
        <w:rPr>
          <w:rFonts w:hint="eastAsia" w:ascii="仿宋" w:hAnsi="仿宋" w:eastAsia="仿宋" w:cs="仿宋"/>
          <w:color w:val="000000" w:themeColor="text1"/>
          <w:kern w:val="0"/>
          <w14:textFill>
            <w14:solidFill>
              <w14:schemeClr w14:val="tx1"/>
            </w14:solidFill>
          </w14:textFill>
        </w:rPr>
        <w:t>天（日历天）内完成合同设备设计、制作及交货</w:t>
      </w:r>
      <w:r>
        <w:rPr>
          <w:rFonts w:hint="eastAsia" w:ascii="仿宋" w:hAnsi="仿宋" w:eastAsia="仿宋" w:cs="仿宋"/>
          <w:color w:val="000000" w:themeColor="text1"/>
          <w:szCs w:val="24"/>
          <w14:textFill>
            <w14:solidFill>
              <w14:schemeClr w14:val="tx1"/>
            </w14:solidFill>
          </w14:textFill>
        </w:rPr>
        <w:t>。</w:t>
      </w:r>
    </w:p>
    <w:p w14:paraId="08378612">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3、交货地点：</w:t>
      </w:r>
      <w:r>
        <w:rPr>
          <w:rFonts w:hint="eastAsia" w:ascii="仿宋" w:hAnsi="仿宋" w:eastAsia="仿宋" w:cs="仿宋"/>
          <w:b/>
          <w:color w:val="000000" w:themeColor="text1"/>
          <w:szCs w:val="24"/>
          <w:u w:val="single"/>
          <w14:textFill>
            <w14:solidFill>
              <w14:schemeClr w14:val="tx1"/>
            </w14:solidFill>
          </w14:textFill>
        </w:rPr>
        <w:t>重庆市农产品集团食品科技有限公司厂区内，招标人指定位置</w:t>
      </w:r>
      <w:r>
        <w:rPr>
          <w:rFonts w:hint="eastAsia" w:ascii="仿宋" w:hAnsi="仿宋" w:eastAsia="仿宋" w:cs="仿宋"/>
          <w:color w:val="000000" w:themeColor="text1"/>
          <w:szCs w:val="24"/>
          <w:u w:val="single"/>
          <w14:textFill>
            <w14:solidFill>
              <w14:schemeClr w14:val="tx1"/>
            </w14:solidFill>
          </w14:textFill>
        </w:rPr>
        <w:t xml:space="preserve">  。</w:t>
      </w:r>
    </w:p>
    <w:p w14:paraId="551F0C25">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第五条 设备的安装与调试</w:t>
      </w:r>
    </w:p>
    <w:p w14:paraId="2321DCB5">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甲方负责安装，乙方派出专业技术人员指导甲方施工队进行安装，安装费用由甲方承担。乙方负责免费对甲方工人进行技术培训。</w:t>
      </w:r>
    </w:p>
    <w:p w14:paraId="651CC97E">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第六条检验及验收</w:t>
      </w:r>
    </w:p>
    <w:p w14:paraId="1C6ADA64">
      <w:pPr>
        <w:spacing w:line="360" w:lineRule="auto"/>
        <w:ind w:firstLine="48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甲方有权随时到乙方工厂检查、检验所供设备生产各个环节的质量情况，乙方应于配合，并针对甲方提出的不符合项及时做出整改，拒不整改的，甲方有权单方面提出终止合同，所造成的损失由乙方负责；甲方有权到乙方的外购、外协等第三方厂家进行现场考察、验收；</w:t>
      </w:r>
    </w:p>
    <w:p w14:paraId="4A48EC38">
      <w:pPr>
        <w:spacing w:line="360" w:lineRule="auto"/>
        <w:ind w:firstLine="480"/>
        <w:jc w:val="left"/>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2、甲方有权选择在设备发货前，或者设备送达甲方指定地点后按标准进行初验，如有问题，乙方应及时整改或更换；</w:t>
      </w:r>
    </w:p>
    <w:p w14:paraId="6A9AFB87">
      <w:pPr>
        <w:spacing w:line="360" w:lineRule="auto"/>
        <w:ind w:firstLine="480"/>
        <w:rPr>
          <w:rFonts w:hint="eastAsia"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3、设备经安装调试并正常运行</w:t>
      </w:r>
      <w:r>
        <w:rPr>
          <w:rFonts w:hint="eastAsia" w:ascii="仿宋" w:hAnsi="仿宋" w:eastAsia="仿宋" w:cs="仿宋"/>
          <w:color w:val="000000" w:themeColor="text1"/>
          <w:szCs w:val="24"/>
          <w:u w:val="single"/>
          <w14:textFill>
            <w14:solidFill>
              <w14:schemeClr w14:val="tx1"/>
            </w14:solidFill>
          </w14:textFill>
        </w:rPr>
        <w:t xml:space="preserve"> 30 </w:t>
      </w:r>
      <w:r>
        <w:rPr>
          <w:rFonts w:hint="eastAsia" w:ascii="仿宋" w:hAnsi="仿宋" w:eastAsia="仿宋" w:cs="仿宋"/>
          <w:color w:val="000000" w:themeColor="text1"/>
          <w:szCs w:val="24"/>
          <w14:textFill>
            <w14:solidFill>
              <w14:schemeClr w14:val="tx1"/>
            </w14:solidFill>
          </w14:textFill>
        </w:rPr>
        <w:t>天，</w:t>
      </w:r>
      <w:r>
        <w:rPr>
          <w:rFonts w:hint="eastAsia" w:ascii="仿宋" w:hAnsi="仿宋" w:eastAsia="仿宋" w:cs="仿宋"/>
          <w:color w:val="000000" w:themeColor="text1"/>
          <w:kern w:val="0"/>
          <w:szCs w:val="24"/>
          <w14:textFill>
            <w14:solidFill>
              <w14:schemeClr w14:val="tx1"/>
            </w14:solidFill>
          </w14:textFill>
        </w:rPr>
        <w:t>完全达到甲方技术要求后，双方签定验收合格证书。</w:t>
      </w:r>
      <w:r>
        <w:rPr>
          <w:rFonts w:hint="eastAsia" w:ascii="仿宋" w:hAnsi="仿宋" w:eastAsia="仿宋" w:cs="仿宋"/>
          <w:color w:val="000000" w:themeColor="text1"/>
          <w:szCs w:val="24"/>
          <w14:textFill>
            <w14:solidFill>
              <w14:schemeClr w14:val="tx1"/>
            </w14:solidFill>
          </w14:textFill>
        </w:rPr>
        <w:t>若在试运行时不能满足技术标准及要求，乙方应无条件更换，改进物料或加工工艺，直至正常运行达到合格验收条件。该过程所发生的费用由乙方承担，否则甲方有权要求乙方停止供货，选择其它竞价人；</w:t>
      </w:r>
    </w:p>
    <w:p w14:paraId="56B06C6B">
      <w:pPr>
        <w:spacing w:line="360" w:lineRule="auto"/>
        <w:ind w:firstLine="480"/>
        <w:rPr>
          <w:rFonts w:hint="eastAsia"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4、甲方对乙方设备从生产制造到安装调试各阶段的检查、验收认可，并不能解除乙方对所供产品的质量责任与义务。</w:t>
      </w:r>
    </w:p>
    <w:p w14:paraId="493C20CF">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第七条  售后服务及质量承诺</w:t>
      </w:r>
    </w:p>
    <w:p w14:paraId="22C37A2C">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绞肉机及配套设备采购项目</w:t>
      </w:r>
      <w:r>
        <w:rPr>
          <w:rFonts w:hint="eastAsia" w:ascii="仿宋" w:hAnsi="仿宋" w:eastAsia="仿宋" w:cs="仿宋"/>
          <w:color w:val="000000" w:themeColor="text1"/>
          <w:szCs w:val="24"/>
          <w14:textFill>
            <w14:solidFill>
              <w14:schemeClr w14:val="tx1"/>
            </w14:solidFill>
          </w14:textFill>
        </w:rPr>
        <w:t>质保期为甲乙双方验收后</w:t>
      </w:r>
      <w:r>
        <w:rPr>
          <w:rFonts w:hint="eastAsia" w:ascii="仿宋" w:hAnsi="仿宋" w:eastAsia="仿宋" w:cs="仿宋"/>
          <w:color w:val="000000" w:themeColor="text1"/>
          <w:szCs w:val="24"/>
          <w:u w:val="single"/>
          <w14:textFill>
            <w14:solidFill>
              <w14:schemeClr w14:val="tx1"/>
            </w14:solidFill>
          </w14:textFill>
        </w:rPr>
        <w:t xml:space="preserve">  （乙方承诺年限）  </w:t>
      </w:r>
      <w:r>
        <w:rPr>
          <w:rFonts w:hint="eastAsia" w:ascii="仿宋" w:hAnsi="仿宋" w:eastAsia="仿宋" w:cs="仿宋"/>
          <w:color w:val="000000" w:themeColor="text1"/>
          <w:szCs w:val="24"/>
          <w14:textFill>
            <w14:solidFill>
              <w14:schemeClr w14:val="tx1"/>
            </w14:solidFill>
          </w14:textFill>
        </w:rPr>
        <w:t>年（易损件除外），自该设备验收合格之日起计。</w:t>
      </w:r>
    </w:p>
    <w:p w14:paraId="40329CB6">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2、质保期内在正常操作状态下使用，出现故障，乙方负责免费提供材料、配件和修复。</w:t>
      </w:r>
    </w:p>
    <w:p w14:paraId="70B2CAD4">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3、乙方提供设备的终身维修服务，超过质保期后维修服务费用双方协商解决，但在维修中更新、更换的主要设备及辅件应以乙方竞价报价为参考，价格应合理。</w:t>
      </w:r>
    </w:p>
    <w:p w14:paraId="161C299E">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4、如设备质保期内出现故障，乙方接到甲方的电话或书面通知必须在2小时给予回复，维修人员须在48小时之内赶到工地现场，并及时排除。</w:t>
      </w:r>
    </w:p>
    <w:p w14:paraId="51755CF4">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乙方提供的设备中，不得以任何形式（软件或硬件）加密，如乙方生产的设备中软件或硬件有加密码的，应于系统验收时将密码告知甲方。如因加密导致甲方停产，甲方停产所导致的损失，由乙方承担；调试过程中，需对甲方技术人员进行PLC/组态等软件培训，保证甲方熟练操作及维护；</w:t>
      </w:r>
    </w:p>
    <w:p w14:paraId="1E7BCC38">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乙方应保证甲方在购买和使用该设备或其任何一部分时,甲方是完全处于合法的知识产权使用状态之下，甲方的上述行为不受乙方和任何第三方提出侵犯知识产权的起诉；如发生类似问题，乙方应主动应诉并承担诉讼费用和赔偿由此给甲方造成的经济和名誉损失。</w:t>
      </w:r>
    </w:p>
    <w:p w14:paraId="0E563014">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第八条  包装标准、包装物的供应与回收</w:t>
      </w:r>
    </w:p>
    <w:p w14:paraId="1B7F176E">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乙方应提供货物合同规定的最终目的地需要的包装，以防止货物在转运过程中损坏或变质，这类包装应采取防潮防晒防锈防腐蚀防震动及防止其他损坏的必要保护措施。包装物乙方应予以回收。</w:t>
      </w:r>
    </w:p>
    <w:p w14:paraId="75B29838">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第九条标的物所有权</w:t>
      </w:r>
    </w:p>
    <w:p w14:paraId="5F86A490">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自货到甲方指定地点安装调试验收合格，且货款付到</w:t>
      </w:r>
      <w:r>
        <w:rPr>
          <w:rFonts w:hint="eastAsia" w:ascii="仿宋" w:hAnsi="仿宋" w:eastAsia="仿宋" w:cs="仿宋"/>
          <w:b/>
          <w:color w:val="000000" w:themeColor="text1"/>
          <w:szCs w:val="24"/>
          <w14:textFill>
            <w14:solidFill>
              <w14:schemeClr w14:val="tx1"/>
            </w14:solidFill>
          </w14:textFill>
        </w:rPr>
        <w:t>90%</w:t>
      </w:r>
      <w:r>
        <w:rPr>
          <w:rFonts w:hint="eastAsia" w:ascii="仿宋" w:hAnsi="仿宋" w:eastAsia="仿宋" w:cs="仿宋"/>
          <w:color w:val="000000" w:themeColor="text1"/>
          <w:szCs w:val="24"/>
          <w14:textFill>
            <w14:solidFill>
              <w14:schemeClr w14:val="tx1"/>
            </w14:solidFill>
          </w14:textFill>
        </w:rPr>
        <w:t>后，标的物所有权转移至甲方。</w:t>
      </w:r>
    </w:p>
    <w:p w14:paraId="4B640AD8">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第十条 安全及费用</w:t>
      </w:r>
    </w:p>
    <w:p w14:paraId="5800D4D6">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设备自制作、运输等全过程中，即未交付甲方使用前，如因乙方责任而造成人身及设备安全责任事故由乙方承担全部法律责任，一切费用由乙方自行承担。</w:t>
      </w:r>
    </w:p>
    <w:p w14:paraId="32F203D0">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第十一条付款方式</w:t>
      </w:r>
    </w:p>
    <w:p w14:paraId="098915E3">
      <w:pPr>
        <w:spacing w:line="360" w:lineRule="auto"/>
        <w:ind w:firstLine="480"/>
        <w:rPr>
          <w:rFonts w:hint="eastAsia" w:ascii="仿宋" w:hAnsi="仿宋" w:eastAsia="仿宋" w:cs="仿宋"/>
          <w:color w:val="000000" w:themeColor="text1"/>
          <w:szCs w:val="24"/>
          <w14:textFill>
            <w14:solidFill>
              <w14:schemeClr w14:val="tx1"/>
            </w14:solidFill>
          </w14:textFill>
        </w:rPr>
      </w:pPr>
      <w:bookmarkStart w:id="684" w:name="_Hlk523209845"/>
      <w:r>
        <w:rPr>
          <w:rFonts w:hint="eastAsia" w:ascii="仿宋" w:hAnsi="仿宋" w:eastAsia="仿宋" w:cs="仿宋"/>
          <w:color w:val="000000" w:themeColor="text1"/>
          <w:szCs w:val="24"/>
          <w14:textFill>
            <w14:solidFill>
              <w14:schemeClr w14:val="tx1"/>
            </w14:solidFill>
          </w14:textFill>
        </w:rPr>
        <w:t xml:space="preserve">合同签订后 7 个工作日内，甲方向乙方预付合同总价款的 </w:t>
      </w:r>
      <w:r>
        <w:rPr>
          <w:rFonts w:hint="eastAsia" w:ascii="仿宋" w:hAnsi="仿宋" w:eastAsia="仿宋" w:cs="仿宋"/>
          <w:color w:val="000000" w:themeColor="text1"/>
          <w:szCs w:val="24"/>
          <w:u w:val="single"/>
          <w14:textFill>
            <w14:solidFill>
              <w14:schemeClr w14:val="tx1"/>
            </w14:solidFill>
          </w14:textFill>
        </w:rPr>
        <w:t xml:space="preserve">30 </w:t>
      </w:r>
      <w:r>
        <w:rPr>
          <w:rFonts w:hint="eastAsia" w:ascii="仿宋" w:hAnsi="仿宋" w:eastAsia="仿宋" w:cs="仿宋"/>
          <w:color w:val="000000" w:themeColor="text1"/>
          <w:szCs w:val="24"/>
          <w14:textFill>
            <w14:solidFill>
              <w14:schemeClr w14:val="tx1"/>
            </w14:solidFill>
          </w14:textFill>
        </w:rPr>
        <w:t>%；设备运至甲方现场指定位置，甲方现场初验合格后，支付合同总价款的</w:t>
      </w:r>
      <w:r>
        <w:rPr>
          <w:rFonts w:hint="eastAsia" w:ascii="仿宋" w:hAnsi="仿宋" w:eastAsia="仿宋" w:cs="仿宋"/>
          <w:color w:val="000000" w:themeColor="text1"/>
          <w:szCs w:val="24"/>
          <w:u w:val="single"/>
          <w14:textFill>
            <w14:solidFill>
              <w14:schemeClr w14:val="tx1"/>
            </w14:solidFill>
          </w14:textFill>
        </w:rPr>
        <w:t>50</w:t>
      </w:r>
      <w:r>
        <w:rPr>
          <w:rFonts w:hint="eastAsia" w:ascii="仿宋" w:hAnsi="仿宋" w:eastAsia="仿宋" w:cs="仿宋"/>
          <w:color w:val="000000" w:themeColor="text1"/>
          <w:szCs w:val="24"/>
          <w14:textFill>
            <w14:solidFill>
              <w14:schemeClr w14:val="tx1"/>
            </w14:solidFill>
          </w14:textFill>
        </w:rPr>
        <w:t xml:space="preserve"> %，经安装调试、联合运行达到甲方使用条件，正常运行30天，经甲乙双方验收后，支付合同总价款的</w:t>
      </w:r>
      <w:r>
        <w:rPr>
          <w:rFonts w:hint="eastAsia" w:ascii="仿宋" w:hAnsi="仿宋" w:eastAsia="仿宋" w:cs="仿宋"/>
          <w:color w:val="000000" w:themeColor="text1"/>
          <w:szCs w:val="24"/>
          <w:u w:val="single"/>
          <w14:textFill>
            <w14:solidFill>
              <w14:schemeClr w14:val="tx1"/>
            </w14:solidFill>
          </w14:textFill>
        </w:rPr>
        <w:t xml:space="preserve">15 </w:t>
      </w:r>
      <w:r>
        <w:rPr>
          <w:rFonts w:hint="eastAsia" w:ascii="仿宋" w:hAnsi="仿宋" w:eastAsia="仿宋" w:cs="仿宋"/>
          <w:color w:val="000000" w:themeColor="text1"/>
          <w:szCs w:val="24"/>
          <w14:textFill>
            <w14:solidFill>
              <w14:schemeClr w14:val="tx1"/>
            </w14:solidFill>
          </w14:textFill>
        </w:rPr>
        <w:t>% ，付款至95%前乙方必须提供13%全额增值税发票至甲方，剩余</w:t>
      </w:r>
      <w:r>
        <w:rPr>
          <w:rFonts w:hint="eastAsia" w:ascii="仿宋" w:hAnsi="仿宋" w:eastAsia="仿宋" w:cs="仿宋"/>
          <w:color w:val="000000" w:themeColor="text1"/>
          <w:szCs w:val="24"/>
          <w:u w:val="single"/>
          <w14:textFill>
            <w14:solidFill>
              <w14:schemeClr w14:val="tx1"/>
            </w14:solidFill>
          </w14:textFill>
        </w:rPr>
        <w:t xml:space="preserve">5 </w:t>
      </w:r>
      <w:r>
        <w:rPr>
          <w:rFonts w:hint="eastAsia" w:ascii="仿宋" w:hAnsi="仿宋" w:eastAsia="仿宋" w:cs="仿宋"/>
          <w:color w:val="000000" w:themeColor="text1"/>
          <w:szCs w:val="24"/>
          <w14:textFill>
            <w14:solidFill>
              <w14:schemeClr w14:val="tx1"/>
            </w14:solidFill>
          </w14:textFill>
        </w:rPr>
        <w:t>%的设备款项质保期到期后一次性支付。</w:t>
      </w:r>
    </w:p>
    <w:bookmarkEnd w:id="684"/>
    <w:p w14:paraId="6B195857">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第十二条合同的变更和解除</w:t>
      </w:r>
    </w:p>
    <w:p w14:paraId="465EE842">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本合同履行期间，发生特殊情况时，任何一方需变更或增补本合同的，需经双方协商同意后签订书面变更或增补协议，变更或增补协议将成为本合同不可分割的部分。未经双方签署书面文件，任何一方无权变更本合同，否则，由此造成对方的经济损失，由责任方承担。</w:t>
      </w:r>
    </w:p>
    <w:p w14:paraId="4201001F">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2、出现下列情形，可解除合同：</w:t>
      </w:r>
    </w:p>
    <w:p w14:paraId="3B6E7E6D">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（1）双方协商一致解除本合同；</w:t>
      </w:r>
    </w:p>
    <w:p w14:paraId="18F4FB49">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（2）合同一方未及时、全面、正确履行合同约定之义务，对方书面催告</w:t>
      </w:r>
      <w:r>
        <w:rPr>
          <w:rFonts w:hint="eastAsia" w:ascii="仿宋" w:hAnsi="仿宋" w:eastAsia="仿宋" w:cs="仿宋"/>
          <w:color w:val="000000" w:themeColor="text1"/>
          <w:szCs w:val="24"/>
          <w:u w:val="single"/>
          <w14:textFill>
            <w14:solidFill>
              <w14:schemeClr w14:val="tx1"/>
            </w14:solidFill>
          </w14:textFill>
        </w:rPr>
        <w:t xml:space="preserve"> 15 </w:t>
      </w:r>
      <w:r>
        <w:rPr>
          <w:rFonts w:hint="eastAsia" w:ascii="仿宋" w:hAnsi="仿宋" w:eastAsia="仿宋" w:cs="仿宋"/>
          <w:color w:val="000000" w:themeColor="text1"/>
          <w:szCs w:val="24"/>
          <w14:textFill>
            <w14:solidFill>
              <w14:schemeClr w14:val="tx1"/>
            </w14:solidFill>
          </w14:textFill>
        </w:rPr>
        <w:t>日内仍未纠正或整改到位的，对方有权解除合同；</w:t>
      </w:r>
    </w:p>
    <w:p w14:paraId="0958D147">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（3）因不可抗力导致合同无法履行；</w:t>
      </w:r>
    </w:p>
    <w:p w14:paraId="2F613549">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（4）其他法律法规规定的情形。</w:t>
      </w:r>
    </w:p>
    <w:p w14:paraId="3F45F69B">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 xml:space="preserve">第十三条违约责任 </w:t>
      </w:r>
    </w:p>
    <w:p w14:paraId="7A125DEA">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1、合同一方未及时、全面、正确履行合同约定之义务，导致对方按本合同约定解除合同的，责任方承担对方的所有损失，已经支付货款的，双倍返还对方；</w:t>
      </w:r>
    </w:p>
    <w:p w14:paraId="2DA9D065">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2、因乙方原因延迟交货，乙方必须每天向甲方支付</w:t>
      </w:r>
      <w:r>
        <w:rPr>
          <w:rFonts w:hint="eastAsia" w:ascii="仿宋" w:hAnsi="仿宋" w:eastAsia="仿宋" w:cs="仿宋"/>
          <w:color w:val="000000" w:themeColor="text1"/>
          <w:szCs w:val="24"/>
          <w:u w:val="single"/>
          <w14:textFill>
            <w14:solidFill>
              <w14:schemeClr w14:val="tx1"/>
            </w14:solidFill>
          </w14:textFill>
        </w:rPr>
        <w:t xml:space="preserve"> 伍仟元</w:t>
      </w:r>
      <w:r>
        <w:rPr>
          <w:rFonts w:hint="eastAsia" w:ascii="仿宋" w:hAnsi="仿宋" w:eastAsia="仿宋" w:cs="仿宋"/>
          <w:color w:val="000000" w:themeColor="text1"/>
          <w:szCs w:val="24"/>
          <w14:textFill>
            <w14:solidFill>
              <w14:schemeClr w14:val="tx1"/>
            </w14:solidFill>
          </w14:textFill>
        </w:rPr>
        <w:t xml:space="preserve"> 违约金，最高不超过合同额的30%；</w:t>
      </w:r>
    </w:p>
    <w:p w14:paraId="66AC8C3B">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3、如设备经多次改进、调试仍不能满足甲方的生产使用要求，甲方有权单方面解除合同并追回已付货款和要求乙方赔偿给甲方造成的损失；</w:t>
      </w:r>
    </w:p>
    <w:p w14:paraId="048C8F99">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第十四条  合同争议的解决方式</w:t>
      </w:r>
    </w:p>
    <w:p w14:paraId="1F6DA418">
      <w:pPr>
        <w:spacing w:line="360" w:lineRule="auto"/>
        <w:ind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合同在履行过程中发生的争议，由双方当事人协商解决；协商或调解不成的，依法向合同签订地法院起诉。</w:t>
      </w:r>
    </w:p>
    <w:p w14:paraId="4C3CF972">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第十七条</w:t>
      </w:r>
      <w:r>
        <w:rPr>
          <w:rFonts w:hint="eastAsia" w:ascii="仿宋" w:hAnsi="仿宋" w:eastAsia="仿宋" w:cs="仿宋"/>
          <w:color w:val="000000" w:themeColor="text1"/>
          <w:szCs w:val="24"/>
          <w14:textFill>
            <w14:solidFill>
              <w14:schemeClr w14:val="tx1"/>
            </w14:solidFill>
          </w14:textFill>
        </w:rPr>
        <w:t xml:space="preserve">  本合同经双方签字盖章之日起生效。</w:t>
      </w:r>
    </w:p>
    <w:p w14:paraId="5A3A6440">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第十八条</w:t>
      </w:r>
      <w:r>
        <w:rPr>
          <w:rFonts w:hint="eastAsia" w:ascii="仿宋" w:hAnsi="仿宋" w:eastAsia="仿宋" w:cs="仿宋"/>
          <w:color w:val="000000" w:themeColor="text1"/>
          <w:szCs w:val="24"/>
          <w14:textFill>
            <w14:solidFill>
              <w14:schemeClr w14:val="tx1"/>
            </w14:solidFill>
          </w14:textFill>
        </w:rPr>
        <w:t xml:space="preserve">  本合同一式六份，双方各执三份。</w:t>
      </w:r>
    </w:p>
    <w:p w14:paraId="0D24E34A">
      <w:pPr>
        <w:spacing w:line="360" w:lineRule="auto"/>
        <w:ind w:firstLine="482"/>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第十九条</w:t>
      </w:r>
      <w:r>
        <w:rPr>
          <w:rFonts w:hint="eastAsia" w:ascii="仿宋" w:hAnsi="仿宋" w:eastAsia="仿宋" w:cs="仿宋"/>
          <w:color w:val="000000" w:themeColor="text1"/>
          <w:szCs w:val="24"/>
          <w14:textFill>
            <w14:solidFill>
              <w14:schemeClr w14:val="tx1"/>
            </w14:solidFill>
          </w14:textFill>
        </w:rPr>
        <w:t xml:space="preserve">  其它约定事项。</w:t>
      </w:r>
    </w:p>
    <w:p w14:paraId="5B3040E8">
      <w:pPr>
        <w:spacing w:line="360" w:lineRule="auto"/>
        <w:ind w:firstLine="480"/>
        <w:rPr>
          <w:rFonts w:hint="eastAsia" w:ascii="仿宋" w:hAnsi="仿宋" w:eastAsia="仿宋" w:cs="仿宋"/>
          <w:color w:val="000000" w:themeColor="text1"/>
          <w:szCs w:val="24"/>
          <w14:textFill>
            <w14:solidFill>
              <w14:schemeClr w14:val="tx1"/>
            </w14:solidFill>
          </w14:textFill>
        </w:rPr>
      </w:pPr>
    </w:p>
    <w:p w14:paraId="6536F8DE">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甲方（公章）：                                   乙方（公章）：</w:t>
      </w:r>
    </w:p>
    <w:p w14:paraId="08F64EC5">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法定代表人（签字）：                             法定代表人（签字）：</w:t>
      </w:r>
    </w:p>
    <w:p w14:paraId="6C38812E">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委托代理人（签字）：                             委托代理人（签字）：</w:t>
      </w:r>
    </w:p>
    <w:p w14:paraId="4EC0A298">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开户银行：                                      开户银行：</w:t>
      </w:r>
    </w:p>
    <w:p w14:paraId="4F2A75D0">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账    号：                                      账    号：</w:t>
      </w:r>
    </w:p>
    <w:p w14:paraId="2AF6892D">
      <w:pPr>
        <w:spacing w:line="360" w:lineRule="auto"/>
        <w:ind w:left="-480" w:leftChars="-200" w:right="-480" w:rightChars="-200" w:firstLine="48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税    号：                                      税    号：</w:t>
      </w:r>
    </w:p>
    <w:p w14:paraId="4EF94A4E">
      <w:pPr>
        <w:spacing w:line="360" w:lineRule="auto"/>
        <w:ind w:left="-480" w:leftChars="-200" w:right="-480" w:rightChars="-200" w:firstLine="482"/>
        <w:rPr>
          <w:rFonts w:hint="eastAsia" w:eastAsia="仿宋"/>
          <w:color w:val="000000" w:themeColor="text1"/>
          <w14:textFill>
            <w14:solidFill>
              <w14:schemeClr w14:val="tx1"/>
            </w14:solidFill>
          </w14:textFill>
        </w:rPr>
        <w:sectPr>
          <w:pgSz w:w="11907" w:h="16840"/>
          <w:pgMar w:top="1134" w:right="1191" w:bottom="1134" w:left="1304" w:header="567" w:footer="63" w:gutter="0"/>
          <w:pgNumType w:fmt="numberInDash"/>
          <w:cols w:space="720" w:num="1"/>
          <w:docGrid w:linePitch="380" w:charSpace="-5735"/>
        </w:sectPr>
      </w:pPr>
      <w:r>
        <w:rPr>
          <w:rFonts w:hint="eastAsia" w:ascii="仿宋" w:hAnsi="仿宋" w:eastAsia="仿宋" w:cs="仿宋"/>
          <w:b/>
          <w:color w:val="000000" w:themeColor="text1"/>
          <w:szCs w:val="24"/>
          <w14:textFill>
            <w14:solidFill>
              <w14:schemeClr w14:val="tx1"/>
            </w14:solidFill>
          </w14:textFill>
        </w:rPr>
        <w:t>合同签订地点：</w:t>
      </w:r>
      <w:r>
        <w:rPr>
          <w:rFonts w:hint="eastAsia" w:ascii="仿宋" w:hAnsi="仿宋" w:eastAsia="仿宋" w:cs="仿宋"/>
          <w:b/>
          <w:color w:val="000000" w:themeColor="text1"/>
          <w:szCs w:val="24"/>
          <w:lang w:val="en-US" w:eastAsia="zh-CN"/>
          <w14:textFill>
            <w14:solidFill>
              <w14:schemeClr w14:val="tx1"/>
            </w14:solidFill>
          </w14:textFill>
        </w:rPr>
        <w:t xml:space="preserve">                       </w:t>
      </w:r>
      <w:r>
        <w:rPr>
          <w:rFonts w:hint="eastAsia" w:ascii="仿宋" w:hAnsi="仿宋" w:eastAsia="仿宋" w:cs="仿宋"/>
          <w:b/>
          <w:color w:val="000000" w:themeColor="text1"/>
          <w:szCs w:val="24"/>
          <w14:textFill>
            <w14:solidFill>
              <w14:schemeClr w14:val="tx1"/>
            </w14:solidFill>
          </w14:textFill>
        </w:rPr>
        <w:t>合同签订日期：</w:t>
      </w:r>
      <w:r>
        <w:rPr>
          <w:rFonts w:hint="eastAsia" w:ascii="仿宋" w:hAnsi="仿宋" w:eastAsia="仿宋" w:cs="仿宋"/>
          <w:color w:val="000000" w:themeColor="text1"/>
          <w:szCs w:val="24"/>
          <w14:textFill>
            <w14:solidFill>
              <w14:schemeClr w14:val="tx1"/>
            </w14:solidFill>
          </w14:textFill>
        </w:rPr>
        <w:t>202</w:t>
      </w: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14:textFill>
            <w14:solidFill>
              <w14:schemeClr w14:val="tx1"/>
            </w14:solidFill>
          </w14:textFill>
        </w:rPr>
        <w:t>年</w:t>
      </w:r>
      <w:r>
        <w:rPr>
          <w:rFonts w:hint="eastAsia" w:ascii="仿宋" w:hAnsi="仿宋" w:eastAsia="仿宋" w:cs="仿宋"/>
          <w:color w:val="000000" w:themeColor="text1"/>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Cs w:val="24"/>
          <w14:textFill>
            <w14:solidFill>
              <w14:schemeClr w14:val="tx1"/>
            </w14:solidFill>
          </w14:textFill>
        </w:rPr>
        <w:t>月</w:t>
      </w:r>
      <w:r>
        <w:rPr>
          <w:rFonts w:hint="eastAsia" w:ascii="仿宋" w:hAnsi="仿宋" w:eastAsia="仿宋" w:cs="仿宋"/>
          <w:color w:val="000000" w:themeColor="text1"/>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Cs w:val="24"/>
          <w:u w:val="none"/>
          <w14:textFill>
            <w14:solidFill>
              <w14:schemeClr w14:val="tx1"/>
            </w14:solidFill>
          </w14:textFill>
        </w:rPr>
        <w:t>日</w:t>
      </w:r>
    </w:p>
    <w:p w14:paraId="4CA46CB3">
      <w:pPr>
        <w:pStyle w:val="12"/>
        <w:ind w:firstLine="0" w:firstLineChars="0"/>
        <w:rPr>
          <w:rFonts w:hint="eastAsia" w:ascii="方正仿宋_GBK" w:eastAsia="方正仿宋_GBK"/>
          <w:color w:val="000000" w:themeColor="text1"/>
          <w14:textFill>
            <w14:solidFill>
              <w14:schemeClr w14:val="tx1"/>
            </w14:solidFill>
          </w14:textFill>
        </w:rPr>
      </w:pPr>
    </w:p>
    <w:bookmarkEnd w:id="683"/>
    <w:p w14:paraId="5AEAEB1D">
      <w:pPr>
        <w:pStyle w:val="2"/>
        <w:tabs>
          <w:tab w:val="left" w:pos="1530"/>
          <w:tab w:val="clear" w:pos="3360"/>
        </w:tabs>
        <w:spacing w:before="120" w:after="120"/>
        <w:ind w:firstLine="0" w:firstLineChars="0"/>
        <w:rPr>
          <w:rFonts w:hint="eastAsia" w:ascii="方正仿宋_GBK" w:hAnsi="宋体" w:eastAsia="方正仿宋_GBK" w:cs="宋体"/>
          <w:b/>
          <w:color w:val="000000" w:themeColor="text1"/>
          <w14:textFill>
            <w14:solidFill>
              <w14:schemeClr w14:val="tx1"/>
            </w14:solidFill>
          </w14:textFill>
        </w:rPr>
      </w:pPr>
      <w:bookmarkStart w:id="685" w:name="_Toc5491"/>
      <w:bookmarkStart w:id="686" w:name="_Toc23759"/>
      <w:bookmarkStart w:id="687" w:name="_Toc63600443"/>
      <w:bookmarkStart w:id="688" w:name="_Toc3550"/>
      <w:bookmarkStart w:id="689" w:name="_Toc10488"/>
      <w:bookmarkStart w:id="690" w:name="_Toc20926"/>
      <w:bookmarkStart w:id="691" w:name="_Toc24789"/>
      <w:bookmarkStart w:id="692" w:name="_Toc31227"/>
      <w:bookmarkStart w:id="693" w:name="_Toc14474"/>
      <w:bookmarkStart w:id="694" w:name="_Toc19827"/>
      <w:bookmarkStart w:id="695" w:name="_Toc744"/>
      <w:bookmarkStart w:id="696" w:name="_Toc11269"/>
      <w:bookmarkStart w:id="697" w:name="_Toc20488346"/>
      <w:bookmarkStart w:id="698" w:name="_Toc20489903"/>
      <w:bookmarkStart w:id="699" w:name="_Toc5108"/>
      <w:bookmarkStart w:id="700" w:name="_Toc13701"/>
      <w:bookmarkStart w:id="701" w:name="_Toc22880"/>
      <w:r>
        <w:rPr>
          <w:rFonts w:hint="eastAsia" w:ascii="方正仿宋_GBK" w:hAnsi="宋体" w:eastAsia="方正仿宋_GBK" w:cs="宋体"/>
          <w:b/>
          <w:color w:val="000000" w:themeColor="text1"/>
          <w14:textFill>
            <w14:solidFill>
              <w14:schemeClr w14:val="tx1"/>
            </w14:solidFill>
          </w14:textFill>
        </w:rPr>
        <w:t>第七篇  竞价文件格式</w:t>
      </w:r>
      <w:bookmarkEnd w:id="681"/>
      <w:bookmarkEnd w:id="682"/>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014A9A72">
      <w:pPr>
        <w:ind w:firstLine="0" w:firstLineChars="0"/>
        <w:jc w:val="center"/>
        <w:rPr>
          <w:rFonts w:hint="eastAsia" w:ascii="方正仿宋_GBK" w:hAnsi="宋体" w:eastAsia="方正仿宋_GBK" w:cs="宋体"/>
          <w:color w:val="000000" w:themeColor="text1"/>
          <w14:textFill>
            <w14:solidFill>
              <w14:schemeClr w14:val="tx1"/>
            </w14:solidFill>
          </w14:textFill>
        </w:rPr>
      </w:pPr>
      <w:bookmarkStart w:id="702" w:name="_Toc25864"/>
      <w:bookmarkStart w:id="703" w:name="_Toc26317"/>
      <w:bookmarkStart w:id="704" w:name="_Toc24536"/>
      <w:bookmarkStart w:id="705" w:name="_Toc11783"/>
      <w:bookmarkStart w:id="706" w:name="_Toc3935"/>
      <w:bookmarkStart w:id="707" w:name="_Toc6139"/>
      <w:bookmarkStart w:id="708" w:name="_Toc7802"/>
      <w:bookmarkStart w:id="709" w:name="_Toc9504"/>
      <w:bookmarkStart w:id="710" w:name="_Toc26683"/>
      <w:bookmarkStart w:id="711" w:name="_Toc954"/>
      <w:bookmarkStart w:id="712" w:name="_Toc12933"/>
      <w:r>
        <w:rPr>
          <w:rFonts w:hint="eastAsia" w:ascii="方正仿宋_GBK" w:hAnsi="宋体" w:eastAsia="方正仿宋_GBK" w:cs="宋体"/>
          <w:color w:val="000000" w:themeColor="text1"/>
          <w14:textFill>
            <w14:solidFill>
              <w14:schemeClr w14:val="tx1"/>
            </w14:solidFill>
          </w14:textFill>
        </w:rPr>
        <w:t>（请按本篇要求提供，但不限于以下格式内容）</w:t>
      </w:r>
      <w:bookmarkEnd w:id="702"/>
      <w:bookmarkEnd w:id="703"/>
      <w:bookmarkEnd w:id="704"/>
      <w:bookmarkEnd w:id="705"/>
      <w:bookmarkEnd w:id="706"/>
      <w:bookmarkEnd w:id="707"/>
      <w:bookmarkEnd w:id="708"/>
      <w:bookmarkEnd w:id="709"/>
      <w:bookmarkEnd w:id="710"/>
      <w:bookmarkEnd w:id="711"/>
      <w:bookmarkEnd w:id="712"/>
    </w:p>
    <w:p w14:paraId="2613B1E6">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bookmarkStart w:id="713" w:name="_Toc17080"/>
      <w:bookmarkStart w:id="714" w:name="_Toc14950"/>
      <w:bookmarkStart w:id="715" w:name="_Toc7121"/>
      <w:bookmarkStart w:id="716" w:name="_Toc20489904"/>
      <w:bookmarkStart w:id="717" w:name="_Toc7661"/>
      <w:bookmarkStart w:id="718" w:name="_Toc32509"/>
      <w:bookmarkStart w:id="719" w:name="_Toc2730"/>
      <w:bookmarkStart w:id="720" w:name="_Toc32455"/>
      <w:bookmarkStart w:id="721" w:name="_Toc22181"/>
      <w:bookmarkStart w:id="722" w:name="_Toc30790"/>
      <w:bookmarkStart w:id="723" w:name="_Toc26018"/>
      <w:bookmarkStart w:id="724" w:name="_Toc14438"/>
      <w:bookmarkStart w:id="725" w:name="_Toc3600"/>
      <w:r>
        <w:rPr>
          <w:rFonts w:hint="eastAsia" w:ascii="方正仿宋_GBK" w:hAnsi="宋体" w:eastAsia="方正仿宋_GBK" w:cs="宋体"/>
          <w:b/>
          <w:bCs/>
          <w:color w:val="000000" w:themeColor="text1"/>
          <w14:textFill>
            <w14:solidFill>
              <w14:schemeClr w14:val="tx1"/>
            </w14:solidFill>
          </w14:textFill>
        </w:rPr>
        <w:t>一、经济文件</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5C9C9E05">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（一）开标一览表</w:t>
      </w:r>
    </w:p>
    <w:p w14:paraId="7F670682">
      <w:pPr>
        <w:keepNext/>
        <w:keepLines/>
        <w:adjustRightInd w:val="0"/>
        <w:snapToGrid w:val="0"/>
        <w:ind w:firstLine="480"/>
        <w:rPr>
          <w:rFonts w:hint="eastAsia" w:ascii="方正仿宋_GBK" w:hAnsi="宋体" w:eastAsia="方正仿宋_GBK" w:cs="宋体"/>
          <w:b/>
          <w:bCs/>
          <w:color w:val="000000" w:themeColor="text1"/>
          <w:szCs w:val="22"/>
          <w14:textFill>
            <w14:solidFill>
              <w14:schemeClr w14:val="tx1"/>
            </w14:solidFill>
          </w14:textFill>
        </w:rPr>
      </w:pPr>
      <w:r>
        <w:rPr>
          <w:rFonts w:hint="eastAsia" w:ascii="方正仿宋_GBK" w:hAnsi="宋体" w:eastAsia="方正仿宋_GBK" w:cs="宋体"/>
          <w:b/>
          <w:bCs/>
          <w:color w:val="000000" w:themeColor="text1"/>
          <w:szCs w:val="22"/>
          <w14:textFill>
            <w14:solidFill>
              <w14:schemeClr w14:val="tx1"/>
            </w14:solidFill>
          </w14:textFill>
        </w:rPr>
        <w:t>二、服务文件</w:t>
      </w:r>
    </w:p>
    <w:p w14:paraId="2E71A5E9">
      <w:pPr>
        <w:ind w:firstLine="480"/>
        <w:rPr>
          <w:rFonts w:hint="eastAsia" w:ascii="方正仿宋_GBK" w:hAnsi="宋体" w:eastAsia="方正仿宋_GBK" w:cs="宋体"/>
          <w:color w:val="000000" w:themeColor="text1"/>
          <w14:textFill>
            <w14:solidFill>
              <w14:schemeClr w14:val="tx1"/>
            </w14:solidFill>
          </w14:textFill>
        </w:rPr>
      </w:pPr>
      <w:bookmarkStart w:id="726" w:name="_Hlk70156938"/>
      <w:r>
        <w:rPr>
          <w:rFonts w:hint="eastAsia" w:ascii="方正仿宋_GBK" w:hAnsi="宋体" w:eastAsia="方正仿宋_GBK" w:cs="宋体"/>
          <w:color w:val="000000" w:themeColor="text1"/>
          <w14:textFill>
            <w14:solidFill>
              <w14:schemeClr w14:val="tx1"/>
            </w14:solidFill>
          </w14:textFill>
        </w:rPr>
        <w:t>（一）服务条款差异表</w:t>
      </w:r>
    </w:p>
    <w:p w14:paraId="58F698B6">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（二）服务方案</w:t>
      </w:r>
    </w:p>
    <w:p w14:paraId="074D5962">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（三）第二篇服务要求中要求提供的相关资料（格式自拟）</w:t>
      </w:r>
    </w:p>
    <w:p w14:paraId="3D6AC138">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（四）其他服务资料（如果有）</w:t>
      </w:r>
    </w:p>
    <w:bookmarkEnd w:id="726"/>
    <w:p w14:paraId="43835929">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bookmarkStart w:id="727" w:name="_Toc26272"/>
      <w:bookmarkStart w:id="728" w:name="_Toc9919"/>
      <w:bookmarkStart w:id="729" w:name="_Toc7460"/>
      <w:bookmarkStart w:id="730" w:name="_Toc27869"/>
      <w:bookmarkStart w:id="731" w:name="_Toc31865"/>
      <w:bookmarkStart w:id="732" w:name="_Toc28937"/>
      <w:bookmarkStart w:id="733" w:name="_Toc29895"/>
      <w:bookmarkStart w:id="734" w:name="_Toc4985"/>
      <w:bookmarkStart w:id="735" w:name="_Toc30928"/>
      <w:bookmarkStart w:id="736" w:name="_Toc483"/>
      <w:bookmarkStart w:id="737" w:name="_Toc20489907"/>
      <w:bookmarkStart w:id="738" w:name="_Toc304"/>
      <w:bookmarkStart w:id="739" w:name="_Toc8605"/>
      <w:r>
        <w:rPr>
          <w:rFonts w:hint="eastAsia" w:ascii="方正仿宋_GBK" w:hAnsi="宋体" w:eastAsia="方正仿宋_GBK" w:cs="宋体"/>
          <w:b/>
          <w:bCs/>
          <w:color w:val="000000" w:themeColor="text1"/>
          <w14:textFill>
            <w14:solidFill>
              <w14:schemeClr w14:val="tx1"/>
            </w14:solidFill>
          </w14:textFill>
        </w:rPr>
        <w:t>三、商务文件</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21004F3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（一）竞价函（格式）</w:t>
      </w:r>
    </w:p>
    <w:p w14:paraId="23ECACBB">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（二）商务条款差异表</w:t>
      </w:r>
    </w:p>
    <w:p w14:paraId="49AB460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（三）第四篇评审因素商务部分所需证明材料</w:t>
      </w:r>
    </w:p>
    <w:p w14:paraId="4AAAF21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（四）其他商务资料（如果有）</w:t>
      </w:r>
    </w:p>
    <w:p w14:paraId="1B16D50C">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bookmarkStart w:id="740" w:name="_Toc13937"/>
      <w:bookmarkStart w:id="741" w:name="_Toc1981"/>
      <w:bookmarkStart w:id="742" w:name="_Toc16846"/>
      <w:bookmarkStart w:id="743" w:name="_Toc8323"/>
      <w:bookmarkStart w:id="744" w:name="_Toc20489908"/>
      <w:bookmarkStart w:id="745" w:name="_Toc10509"/>
      <w:bookmarkStart w:id="746" w:name="_Toc13294"/>
      <w:bookmarkStart w:id="747" w:name="_Toc21704"/>
      <w:bookmarkStart w:id="748" w:name="_Toc13714"/>
      <w:bookmarkStart w:id="749" w:name="_Toc29910"/>
      <w:bookmarkStart w:id="750" w:name="_Toc12262"/>
      <w:bookmarkStart w:id="751" w:name="_Toc12785"/>
      <w:bookmarkStart w:id="752" w:name="_Toc24520"/>
      <w:r>
        <w:rPr>
          <w:rFonts w:hint="eastAsia" w:ascii="方正仿宋_GBK" w:hAnsi="宋体" w:eastAsia="方正仿宋_GBK" w:cs="宋体"/>
          <w:b/>
          <w:bCs/>
          <w:color w:val="000000" w:themeColor="text1"/>
          <w14:textFill>
            <w14:solidFill>
              <w14:schemeClr w14:val="tx1"/>
            </w14:solidFill>
          </w14:textFill>
        </w:rPr>
        <w:t>四、其他</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55F7DBAA">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（一）中小企业声明函、监狱企业证明文件、残疾人福利性单位声明函</w:t>
      </w:r>
    </w:p>
    <w:p w14:paraId="20B2EC57">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（二）其他与项目有关的资料（自附）</w:t>
      </w:r>
    </w:p>
    <w:p w14:paraId="0B218872">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bookmarkStart w:id="753" w:name="_Toc20489905"/>
      <w:bookmarkStart w:id="754" w:name="_Toc30272"/>
      <w:bookmarkStart w:id="755" w:name="_Toc18962"/>
      <w:bookmarkStart w:id="756" w:name="_Toc10268"/>
      <w:bookmarkStart w:id="757" w:name="_Toc1244"/>
      <w:bookmarkStart w:id="758" w:name="_Toc20821"/>
      <w:bookmarkStart w:id="759" w:name="_Toc8757"/>
      <w:bookmarkStart w:id="760" w:name="_Toc18842"/>
      <w:bookmarkStart w:id="761" w:name="_Toc26355"/>
      <w:bookmarkStart w:id="762" w:name="_Toc24038"/>
      <w:bookmarkStart w:id="763" w:name="_Toc502"/>
      <w:bookmarkStart w:id="764" w:name="_Toc5349"/>
      <w:bookmarkStart w:id="765" w:name="_Toc19896"/>
      <w:r>
        <w:rPr>
          <w:rFonts w:hint="eastAsia" w:ascii="方正仿宋_GBK" w:hAnsi="宋体" w:eastAsia="方正仿宋_GBK" w:cs="宋体"/>
          <w:b/>
          <w:bCs/>
          <w:color w:val="000000" w:themeColor="text1"/>
          <w14:textFill>
            <w14:solidFill>
              <w14:schemeClr w14:val="tx1"/>
            </w14:solidFill>
          </w14:textFill>
        </w:rPr>
        <w:t>五、资格文件</w:t>
      </w:r>
      <w:bookmarkEnd w:id="753"/>
      <w:r>
        <w:rPr>
          <w:rFonts w:hint="eastAsia" w:ascii="方正仿宋_GBK" w:hAnsi="宋体" w:eastAsia="方正仿宋_GBK" w:cs="宋体"/>
          <w:b/>
          <w:bCs/>
          <w:color w:val="000000" w:themeColor="text1"/>
          <w14:textFill>
            <w14:solidFill>
              <w14:schemeClr w14:val="tx1"/>
            </w14:solidFill>
          </w14:textFill>
        </w:rPr>
        <w:t>（单独装订）</w:t>
      </w:r>
      <w:bookmarkEnd w:id="754"/>
      <w:bookmarkEnd w:id="755"/>
      <w:bookmarkEnd w:id="756"/>
      <w:bookmarkEnd w:id="757"/>
      <w:bookmarkEnd w:id="758"/>
      <w:bookmarkEnd w:id="759"/>
      <w:bookmarkEnd w:id="760"/>
      <w:bookmarkEnd w:id="761"/>
      <w:bookmarkEnd w:id="762"/>
      <w:bookmarkEnd w:id="763"/>
      <w:bookmarkEnd w:id="764"/>
      <w:bookmarkEnd w:id="765"/>
    </w:p>
    <w:p w14:paraId="207C31C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（一）竞价人法人营业执照（副本）或事业单位法人证书（副本）或个体工商户营业执照或有效的自然人身份证明或社会团体法人登记证书（提供复印件）</w:t>
      </w:r>
    </w:p>
    <w:p w14:paraId="578EEAF2">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（二）法定代表人身份证明书（格式）</w:t>
      </w:r>
    </w:p>
    <w:p w14:paraId="20D83A94">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（三）法定代表人授权委托书（格式）</w:t>
      </w:r>
    </w:p>
    <w:p w14:paraId="224C127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（四）基本资格条件承诺函（格式）</w:t>
      </w:r>
    </w:p>
    <w:p w14:paraId="5B6E0D44">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（五）</w:t>
      </w:r>
      <w:r>
        <w:rPr>
          <w:rFonts w:hint="eastAsia" w:ascii="方正仿宋_GBK" w:hAnsi="宋体" w:eastAsia="方正仿宋_GBK" w:cs="宋体"/>
          <w:color w:val="000000" w:themeColor="text1"/>
          <w:szCs w:val="22"/>
          <w14:textFill>
            <w14:solidFill>
              <w14:schemeClr w14:val="tx1"/>
            </w14:solidFill>
          </w14:textFill>
        </w:rPr>
        <w:t>特定资格条件证书或证明文件（如果有）</w:t>
      </w:r>
    </w:p>
    <w:p w14:paraId="27FFCAF6">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w:t>
      </w:r>
    </w:p>
    <w:p w14:paraId="1B1A105E">
      <w:pPr>
        <w:pStyle w:val="20"/>
        <w:ind w:firstLine="480"/>
        <w:rPr>
          <w:rFonts w:hint="eastAsia" w:ascii="方正仿宋_GBK" w:hAnsi="宋体" w:eastAsia="方正仿宋_GBK" w:cs="宋体"/>
          <w:color w:val="000000" w:themeColor="text1"/>
          <w:sz w:val="24"/>
          <w14:textFill>
            <w14:solidFill>
              <w14:schemeClr w14:val="tx1"/>
            </w14:solidFill>
          </w14:textFill>
        </w:rPr>
      </w:pPr>
      <w:r>
        <w:rPr>
          <w:rFonts w:hint="eastAsia" w:ascii="方正仿宋_GBK" w:hAnsi="宋体" w:eastAsia="方正仿宋_GBK" w:cs="宋体"/>
          <w:color w:val="000000" w:themeColor="text1"/>
          <w:sz w:val="24"/>
          <w14:textFill>
            <w14:solidFill>
              <w14:schemeClr w14:val="tx1"/>
            </w14:solidFill>
          </w14:textFill>
        </w:rPr>
        <w:t>说明：竞价人按“多证合一”登记制度办理营业执照的，税务登记证（副本）和社会保险登记证以竞价人所提供的法人营业执照（副本）复印件为准。</w:t>
      </w:r>
    </w:p>
    <w:p w14:paraId="51F2A72F">
      <w:pPr>
        <w:tabs>
          <w:tab w:val="left" w:pos="3600"/>
          <w:tab w:val="left" w:pos="4480"/>
          <w:tab w:val="left" w:pos="5360"/>
        </w:tabs>
        <w:spacing w:line="360" w:lineRule="auto"/>
        <w:ind w:firstLine="0" w:firstLineChars="0"/>
        <w:jc w:val="right"/>
        <w:rPr>
          <w:rFonts w:hint="eastAsia" w:ascii="方正仿宋_GBK" w:hAnsi="宋体" w:eastAsia="方正仿宋_GBK" w:cs="宋体"/>
          <w:bCs/>
          <w:color w:val="000000" w:themeColor="text1"/>
          <w14:textFill>
            <w14:solidFill>
              <w14:schemeClr w14:val="tx1"/>
            </w14:solidFill>
          </w14:textFill>
        </w:rPr>
      </w:pPr>
      <w:r>
        <w:rPr>
          <w:rFonts w:hint="eastAsia" w:ascii="方正仿宋_GBK" w:hAnsi="宋体" w:eastAsia="方正仿宋_GBK" w:cs="宋体"/>
          <w:bCs/>
          <w:color w:val="000000" w:themeColor="text1"/>
          <w14:textFill>
            <w14:solidFill>
              <w14:schemeClr w14:val="tx1"/>
            </w14:solidFill>
          </w14:textFill>
        </w:rPr>
        <w:br w:type="page"/>
      </w:r>
      <w:bookmarkStart w:id="766" w:name="_Toc21372"/>
      <w:bookmarkStart w:id="767" w:name="_Toc63600444"/>
      <w:bookmarkStart w:id="768" w:name="_Toc17100"/>
      <w:bookmarkStart w:id="769" w:name="_Toc10910"/>
      <w:bookmarkStart w:id="770" w:name="_Toc20488347"/>
      <w:bookmarkStart w:id="771" w:name="_Toc15147"/>
      <w:bookmarkStart w:id="772" w:name="_Toc508"/>
      <w:bookmarkStart w:id="773" w:name="_Toc12115"/>
      <w:bookmarkStart w:id="774" w:name="_Toc11027"/>
      <w:bookmarkStart w:id="775" w:name="_Toc20730"/>
      <w:bookmarkStart w:id="776" w:name="_Toc1248"/>
      <w:bookmarkStart w:id="777" w:name="_Toc20070"/>
      <w:bookmarkStart w:id="778" w:name="_Toc339"/>
      <w:bookmarkStart w:id="779" w:name="_Toc823"/>
      <w:r>
        <w:rPr>
          <w:rFonts w:hint="eastAsia" w:ascii="方正仿宋_GBK" w:hAnsi="宋体" w:eastAsia="方正仿宋_GBK" w:cs="宋体"/>
          <w:color w:val="000000" w:themeColor="text1"/>
          <w:kern w:val="0"/>
          <w:sz w:val="44"/>
          <w:szCs w:val="44"/>
          <w14:textFill>
            <w14:solidFill>
              <w14:schemeClr w14:val="tx1"/>
            </w14:solidFill>
          </w14:textFill>
        </w:rPr>
        <w:t>正本/副本</w:t>
      </w:r>
    </w:p>
    <w:p w14:paraId="6504A963">
      <w:pPr>
        <w:tabs>
          <w:tab w:val="left" w:pos="3600"/>
          <w:tab w:val="left" w:pos="4480"/>
          <w:tab w:val="left" w:pos="5360"/>
        </w:tabs>
        <w:spacing w:line="360" w:lineRule="auto"/>
        <w:ind w:firstLine="0" w:firstLineChars="0"/>
        <w:jc w:val="center"/>
        <w:rPr>
          <w:rStyle w:val="66"/>
          <w:rFonts w:hint="eastAsia" w:ascii="方正仿宋_GBK" w:hAnsi="宋体" w:eastAsia="方正仿宋_GBK" w:cs="宋体"/>
          <w:b/>
          <w:color w:val="000000" w:themeColor="text1"/>
          <w:sz w:val="44"/>
          <w:szCs w:val="44"/>
          <w14:textFill>
            <w14:solidFill>
              <w14:schemeClr w14:val="tx1"/>
            </w14:solidFill>
          </w14:textFill>
        </w:rPr>
      </w:pPr>
      <w:r>
        <w:rPr>
          <w:rFonts w:hint="eastAsia" w:ascii="方正仿宋_GBK" w:hAnsi="宋体" w:eastAsia="方正仿宋_GBK" w:cs="宋体"/>
          <w:b/>
          <w:bCs/>
          <w:color w:val="000000" w:themeColor="text1"/>
          <w:sz w:val="36"/>
          <w:szCs w:val="36"/>
          <w14:textFill>
            <w14:solidFill>
              <w14:schemeClr w14:val="tx1"/>
            </w14:solidFill>
          </w14:textFill>
        </w:rPr>
        <w:t>二车间绞肉机及配套设备采购项目</w:t>
      </w:r>
    </w:p>
    <w:p w14:paraId="7EE329B5">
      <w:pPr>
        <w:tabs>
          <w:tab w:val="left" w:pos="3600"/>
          <w:tab w:val="left" w:pos="4480"/>
          <w:tab w:val="left" w:pos="5360"/>
        </w:tabs>
        <w:spacing w:line="360" w:lineRule="auto"/>
        <w:ind w:firstLine="1040"/>
        <w:jc w:val="center"/>
        <w:rPr>
          <w:rStyle w:val="66"/>
          <w:rFonts w:hint="eastAsia" w:ascii="方正仿宋_GBK" w:hAnsi="宋体" w:eastAsia="方正仿宋_GBK" w:cs="宋体"/>
          <w:b/>
          <w:color w:val="000000" w:themeColor="text1"/>
          <w:sz w:val="52"/>
          <w:szCs w:val="52"/>
          <w14:textFill>
            <w14:solidFill>
              <w14:schemeClr w14:val="tx1"/>
            </w14:solidFill>
          </w14:textFill>
        </w:rPr>
      </w:pPr>
    </w:p>
    <w:p w14:paraId="6BC3F06C">
      <w:pPr>
        <w:tabs>
          <w:tab w:val="left" w:pos="3600"/>
          <w:tab w:val="left" w:pos="4480"/>
          <w:tab w:val="left" w:pos="5360"/>
        </w:tabs>
        <w:spacing w:line="360" w:lineRule="auto"/>
        <w:ind w:firstLine="1040"/>
        <w:jc w:val="center"/>
        <w:rPr>
          <w:rStyle w:val="66"/>
          <w:rFonts w:hint="eastAsia" w:ascii="方正仿宋_GBK" w:hAnsi="宋体" w:eastAsia="方正仿宋_GBK" w:cs="宋体"/>
          <w:b/>
          <w:color w:val="000000" w:themeColor="text1"/>
          <w:sz w:val="52"/>
          <w:szCs w:val="52"/>
          <w14:textFill>
            <w14:solidFill>
              <w14:schemeClr w14:val="tx1"/>
            </w14:solidFill>
          </w14:textFill>
        </w:rPr>
      </w:pPr>
    </w:p>
    <w:p w14:paraId="56EB602F">
      <w:pPr>
        <w:tabs>
          <w:tab w:val="left" w:pos="3600"/>
          <w:tab w:val="left" w:pos="4480"/>
          <w:tab w:val="left" w:pos="5360"/>
        </w:tabs>
        <w:spacing w:line="360" w:lineRule="auto"/>
        <w:ind w:firstLine="0" w:firstLineChars="0"/>
        <w:jc w:val="center"/>
        <w:rPr>
          <w:rStyle w:val="66"/>
          <w:rFonts w:hint="eastAsia" w:ascii="方正仿宋_GBK" w:hAnsi="宋体" w:eastAsia="方正仿宋_GBK" w:cs="宋体"/>
          <w:b/>
          <w:color w:val="000000" w:themeColor="text1"/>
          <w:sz w:val="84"/>
          <w:szCs w:val="84"/>
          <w14:textFill>
            <w14:solidFill>
              <w14:schemeClr w14:val="tx1"/>
            </w14:solidFill>
          </w14:textFill>
        </w:rPr>
      </w:pPr>
      <w:r>
        <w:rPr>
          <w:rStyle w:val="66"/>
          <w:rFonts w:hint="eastAsia" w:ascii="方正仿宋_GBK" w:hAnsi="宋体" w:eastAsia="方正仿宋_GBK" w:cs="宋体"/>
          <w:b/>
          <w:color w:val="000000" w:themeColor="text1"/>
          <w:sz w:val="84"/>
          <w:szCs w:val="84"/>
          <w14:textFill>
            <w14:solidFill>
              <w14:schemeClr w14:val="tx1"/>
            </w14:solidFill>
          </w14:textFill>
        </w:rPr>
        <w:t>竞  价  文  件</w:t>
      </w:r>
    </w:p>
    <w:p w14:paraId="1ED5DC25">
      <w:pPr>
        <w:spacing w:line="360" w:lineRule="auto"/>
        <w:ind w:firstLine="320"/>
        <w:jc w:val="left"/>
        <w:rPr>
          <w:rStyle w:val="66"/>
          <w:rFonts w:hint="eastAsia" w:ascii="方正仿宋_GBK" w:hAnsi="宋体" w:eastAsia="方正仿宋_GBK" w:cs="宋体"/>
          <w:color w:val="000000" w:themeColor="text1"/>
          <w:sz w:val="16"/>
          <w:szCs w:val="16"/>
          <w14:textFill>
            <w14:solidFill>
              <w14:schemeClr w14:val="tx1"/>
            </w14:solidFill>
          </w14:textFill>
        </w:rPr>
      </w:pPr>
    </w:p>
    <w:p w14:paraId="0D6B2E98">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63E724B4">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35780307">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58190420">
      <w:pPr>
        <w:tabs>
          <w:tab w:val="left" w:pos="6080"/>
          <w:tab w:val="left" w:pos="6640"/>
        </w:tabs>
        <w:spacing w:line="360" w:lineRule="auto"/>
        <w:ind w:firstLine="714" w:firstLineChars="300"/>
        <w:rPr>
          <w:rStyle w:val="66"/>
          <w:rFonts w:hint="eastAsia" w:ascii="方正仿宋_GBK" w:hAnsi="宋体" w:eastAsia="方正仿宋_GBK" w:cs="宋体"/>
          <w:b/>
          <w:color w:val="000000" w:themeColor="text1"/>
          <w:w w:val="99"/>
          <w:szCs w:val="24"/>
          <w14:textFill>
            <w14:solidFill>
              <w14:schemeClr w14:val="tx1"/>
            </w14:solidFill>
          </w14:textFill>
        </w:rPr>
      </w:pPr>
    </w:p>
    <w:p w14:paraId="52C01EA2">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14:textFill>
            <w14:solidFill>
              <w14:schemeClr w14:val="tx1"/>
            </w14:solidFill>
          </w14:textFill>
        </w:rPr>
      </w:pPr>
    </w:p>
    <w:p w14:paraId="2F6412FB">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u w:val="single"/>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项目编号：</w:t>
      </w:r>
    </w:p>
    <w:p w14:paraId="2D38F0C4">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竞价人</w:t>
      </w:r>
      <w:r>
        <w:rPr>
          <w:rStyle w:val="66"/>
          <w:rFonts w:hint="eastAsia" w:ascii="方正仿宋_GBK" w:hAnsi="宋体" w:eastAsia="方正仿宋_GBK" w:cs="宋体"/>
          <w:b/>
          <w:color w:val="000000" w:themeColor="text1"/>
          <w:spacing w:val="1"/>
          <w:w w:val="99"/>
          <w:sz w:val="28"/>
          <w:szCs w:val="28"/>
          <w14:textFill>
            <w14:solidFill>
              <w14:schemeClr w14:val="tx1"/>
            </w14:solidFill>
          </w14:textFill>
        </w:rPr>
        <w:t>：</w:t>
      </w:r>
      <w:r>
        <w:rPr>
          <w:rStyle w:val="66"/>
          <w:rFonts w:hint="eastAsia" w:ascii="方正仿宋_GBK" w:hAnsi="宋体" w:eastAsia="方正仿宋_GBK" w:cs="宋体"/>
          <w:b/>
          <w:color w:val="000000" w:themeColor="text1"/>
          <w:w w:val="198"/>
          <w:sz w:val="28"/>
          <w:szCs w:val="28"/>
          <w:u w:val="single"/>
          <w14:textFill>
            <w14:solidFill>
              <w14:schemeClr w14:val="tx1"/>
            </w14:solidFill>
          </w14:textFill>
        </w:rPr>
        <w:t xml:space="preserve"> 　　　　 　     　</w:t>
      </w:r>
      <w:r>
        <w:rPr>
          <w:rStyle w:val="66"/>
          <w:rFonts w:hint="eastAsia" w:ascii="方正仿宋_GBK" w:hAnsi="宋体" w:eastAsia="方正仿宋_GBK" w:cs="宋体"/>
          <w:b/>
          <w:color w:val="000000" w:themeColor="text1"/>
          <w:w w:val="99"/>
          <w:sz w:val="28"/>
          <w:szCs w:val="28"/>
          <w14:textFill>
            <w14:solidFill>
              <w14:schemeClr w14:val="tx1"/>
            </w14:solidFill>
          </w14:textFill>
        </w:rPr>
        <w:t>（盖单位公章）</w:t>
      </w:r>
    </w:p>
    <w:p w14:paraId="7C7950E9">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法定代表人或其委托代理人：（签字或盖章）</w:t>
      </w:r>
    </w:p>
    <w:p w14:paraId="5522064F">
      <w:pPr>
        <w:spacing w:line="360" w:lineRule="auto"/>
        <w:ind w:firstLine="554"/>
        <w:jc w:val="center"/>
        <w:rPr>
          <w:rStyle w:val="66"/>
          <w:rFonts w:hint="eastAsia" w:ascii="方正仿宋_GBK" w:hAnsi="宋体" w:eastAsia="方正仿宋_GBK" w:cs="宋体"/>
          <w:b/>
          <w:color w:val="000000" w:themeColor="text1"/>
          <w:w w:val="99"/>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年  月  日</w:t>
      </w:r>
    </w:p>
    <w:p w14:paraId="1558F4B8">
      <w:pPr>
        <w:spacing w:line="400" w:lineRule="exact"/>
        <w:ind w:firstLine="560"/>
        <w:rPr>
          <w:rStyle w:val="46"/>
          <w:rFonts w:hint="eastAsia" w:ascii="方正仿宋_GBK" w:hAnsi="宋体" w:eastAsia="方正仿宋_GBK" w:cs="宋体"/>
          <w:color w:val="000000" w:themeColor="text1"/>
          <w14:textFill>
            <w14:solidFill>
              <w14:schemeClr w14:val="tx1"/>
            </w14:solidFill>
          </w14:textFill>
        </w:rPr>
      </w:pPr>
    </w:p>
    <w:p w14:paraId="10B0FF87">
      <w:pPr>
        <w:ind w:firstLine="640"/>
        <w:jc w:val="center"/>
        <w:rPr>
          <w:rStyle w:val="66"/>
          <w:rFonts w:hint="eastAsia" w:ascii="方正仿宋_GBK" w:hAnsi="宋体" w:eastAsia="方正仿宋_GBK" w:cs="宋体"/>
          <w:color w:val="000000" w:themeColor="text1"/>
          <w:sz w:val="32"/>
          <w:szCs w:val="32"/>
          <w14:textFill>
            <w14:solidFill>
              <w14:schemeClr w14:val="tx1"/>
            </w14:solidFill>
          </w14:textFill>
        </w:rPr>
      </w:pPr>
      <w:r>
        <w:rPr>
          <w:rStyle w:val="66"/>
          <w:rFonts w:hint="eastAsia" w:ascii="方正仿宋_GBK" w:hAnsi="宋体" w:eastAsia="方正仿宋_GBK" w:cs="宋体"/>
          <w:color w:val="000000" w:themeColor="text1"/>
          <w:sz w:val="32"/>
          <w:szCs w:val="32"/>
          <w14:textFill>
            <w14:solidFill>
              <w14:schemeClr w14:val="tx1"/>
            </w14:solidFill>
          </w14:textFill>
        </w:rPr>
        <w:br w:type="page"/>
      </w:r>
      <w:r>
        <w:rPr>
          <w:rStyle w:val="66"/>
          <w:rFonts w:hint="eastAsia" w:ascii="方正仿宋_GBK" w:hAnsi="宋体" w:eastAsia="方正仿宋_GBK" w:cs="宋体"/>
          <w:color w:val="000000" w:themeColor="text1"/>
          <w:sz w:val="32"/>
          <w:szCs w:val="32"/>
          <w14:textFill>
            <w14:solidFill>
              <w14:schemeClr w14:val="tx1"/>
            </w14:solidFill>
          </w14:textFill>
        </w:rPr>
        <w:t>目 录</w:t>
      </w:r>
    </w:p>
    <w:p w14:paraId="714798DC">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r>
        <w:rPr>
          <w:rFonts w:hint="eastAsia" w:ascii="方正仿宋_GBK" w:hAnsi="宋体" w:eastAsia="方正仿宋_GBK" w:cs="宋体"/>
          <w:b/>
          <w:bCs/>
          <w:color w:val="000000" w:themeColor="text1"/>
          <w14:textFill>
            <w14:solidFill>
              <w14:schemeClr w14:val="tx1"/>
            </w14:solidFill>
          </w14:textFill>
        </w:rPr>
        <w:t>一、经济文件</w:t>
      </w:r>
    </w:p>
    <w:p w14:paraId="62C0205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（一）开标一览表</w:t>
      </w:r>
    </w:p>
    <w:p w14:paraId="7FA48895">
      <w:pPr>
        <w:keepNext/>
        <w:keepLines/>
        <w:adjustRightInd w:val="0"/>
        <w:snapToGrid w:val="0"/>
        <w:ind w:firstLine="480"/>
        <w:rPr>
          <w:rFonts w:hint="eastAsia" w:ascii="方正仿宋_GBK" w:hAnsi="宋体" w:eastAsia="方正仿宋_GBK" w:cs="宋体"/>
          <w:b/>
          <w:bCs/>
          <w:color w:val="000000" w:themeColor="text1"/>
          <w:szCs w:val="22"/>
          <w14:textFill>
            <w14:solidFill>
              <w14:schemeClr w14:val="tx1"/>
            </w14:solidFill>
          </w14:textFill>
        </w:rPr>
      </w:pPr>
      <w:r>
        <w:rPr>
          <w:rFonts w:hint="eastAsia" w:ascii="方正仿宋_GBK" w:hAnsi="宋体" w:eastAsia="方正仿宋_GBK" w:cs="宋体"/>
          <w:b/>
          <w:bCs/>
          <w:color w:val="000000" w:themeColor="text1"/>
          <w:szCs w:val="22"/>
          <w14:textFill>
            <w14:solidFill>
              <w14:schemeClr w14:val="tx1"/>
            </w14:solidFill>
          </w14:textFill>
        </w:rPr>
        <w:t>二、服务文件</w:t>
      </w:r>
    </w:p>
    <w:p w14:paraId="6618AF11">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（一）服务条款差异表</w:t>
      </w:r>
    </w:p>
    <w:p w14:paraId="5C011197">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（二）服务技术方案</w:t>
      </w:r>
    </w:p>
    <w:p w14:paraId="300CB5B5">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（三）第二篇服务要求中要求提供的相关资料（格式自拟）</w:t>
      </w:r>
    </w:p>
    <w:p w14:paraId="72A3B126">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（四）其他服务资料（如果有）</w:t>
      </w:r>
    </w:p>
    <w:p w14:paraId="0CCFFB30">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r>
        <w:rPr>
          <w:rFonts w:hint="eastAsia" w:ascii="方正仿宋_GBK" w:hAnsi="宋体" w:eastAsia="方正仿宋_GBK" w:cs="宋体"/>
          <w:b/>
          <w:bCs/>
          <w:color w:val="000000" w:themeColor="text1"/>
          <w14:textFill>
            <w14:solidFill>
              <w14:schemeClr w14:val="tx1"/>
            </w14:solidFill>
          </w14:textFill>
        </w:rPr>
        <w:t>三、商务文件</w:t>
      </w:r>
    </w:p>
    <w:p w14:paraId="21E427F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（一）竞价函（格式）</w:t>
      </w:r>
    </w:p>
    <w:p w14:paraId="48DF2705">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（二）商务条款差异表</w:t>
      </w:r>
    </w:p>
    <w:p w14:paraId="33E8CC4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（三）第四篇评审因素商务部分所需证明材料</w:t>
      </w:r>
    </w:p>
    <w:p w14:paraId="04F26584">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（四）其他商务资料</w:t>
      </w:r>
    </w:p>
    <w:p w14:paraId="622D2DA0">
      <w:pPr>
        <w:keepNext/>
        <w:keepLines/>
        <w:adjustRightInd w:val="0"/>
        <w:snapToGrid w:val="0"/>
        <w:ind w:firstLine="480"/>
        <w:rPr>
          <w:rFonts w:hint="eastAsia" w:ascii="方正仿宋_GBK" w:hAnsi="宋体" w:eastAsia="方正仿宋_GBK" w:cs="宋体"/>
          <w:b/>
          <w:bCs/>
          <w:color w:val="000000" w:themeColor="text1"/>
          <w14:textFill>
            <w14:solidFill>
              <w14:schemeClr w14:val="tx1"/>
            </w14:solidFill>
          </w14:textFill>
        </w:rPr>
      </w:pPr>
      <w:r>
        <w:rPr>
          <w:rFonts w:hint="eastAsia" w:ascii="方正仿宋_GBK" w:hAnsi="宋体" w:eastAsia="方正仿宋_GBK" w:cs="宋体"/>
          <w:b/>
          <w:bCs/>
          <w:color w:val="000000" w:themeColor="text1"/>
          <w14:textFill>
            <w14:solidFill>
              <w14:schemeClr w14:val="tx1"/>
            </w14:solidFill>
          </w14:textFill>
        </w:rPr>
        <w:t>四、其他</w:t>
      </w:r>
    </w:p>
    <w:p w14:paraId="7A3C478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（一）中小企业声明函、监狱企业证明文件、残疾人福利性单位声明函</w:t>
      </w:r>
    </w:p>
    <w:p w14:paraId="7592437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（二）其他与项目有关的资料（自附）</w:t>
      </w:r>
    </w:p>
    <w:p w14:paraId="07340D12">
      <w:pPr>
        <w:spacing w:line="400" w:lineRule="exact"/>
        <w:ind w:firstLine="480"/>
        <w:rPr>
          <w:rFonts w:hint="eastAsia" w:ascii="方正仿宋_GBK" w:hAnsi="宋体" w:eastAsia="方正仿宋_GBK" w:cs="宋体"/>
          <w:b/>
          <w:bCs/>
          <w:color w:val="000000" w:themeColor="text1"/>
          <w14:textFill>
            <w14:solidFill>
              <w14:schemeClr w14:val="tx1"/>
            </w14:solidFill>
          </w14:textFill>
        </w:rPr>
      </w:pPr>
    </w:p>
    <w:p w14:paraId="72E62C59">
      <w:pPr>
        <w:pStyle w:val="3"/>
        <w:spacing w:before="120" w:after="120"/>
        <w:ind w:firstLine="560"/>
        <w:rPr>
          <w:rFonts w:ascii="方正仿宋_GBK" w:eastAsia="方正仿宋_GBK"/>
          <w:color w:val="000000" w:themeColor="text1"/>
          <w14:textFill>
            <w14:solidFill>
              <w14:schemeClr w14:val="tx1"/>
            </w14:solidFill>
          </w14:textFill>
        </w:rPr>
      </w:pPr>
      <w:r>
        <w:rPr>
          <w:rFonts w:hint="eastAsia" w:ascii="方正仿宋_GBK" w:hAnsi="宋体" w:eastAsia="方正仿宋_GBK" w:cs="宋体"/>
          <w:bCs/>
          <w:color w:val="000000" w:themeColor="text1"/>
          <w14:textFill>
            <w14:solidFill>
              <w14:schemeClr w14:val="tx1"/>
            </w14:solidFill>
          </w14:textFill>
        </w:rPr>
        <w:br w:type="page"/>
      </w:r>
      <w:bookmarkStart w:id="780" w:name="_Toc2182"/>
      <w:r>
        <w:rPr>
          <w:rFonts w:hint="eastAsia" w:ascii="方正仿宋_GBK" w:eastAsia="方正仿宋_GBK"/>
          <w:color w:val="000000" w:themeColor="text1"/>
          <w14:textFill>
            <w14:solidFill>
              <w14:schemeClr w14:val="tx1"/>
            </w14:solidFill>
          </w14:textFill>
        </w:rPr>
        <w:t>一、经济文件</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340571C">
      <w:pPr>
        <w:spacing w:before="240" w:beforeLines="100" w:after="240" w:afterLines="100"/>
        <w:ind w:firstLine="0" w:firstLineChars="0"/>
        <w:jc w:val="center"/>
        <w:rPr>
          <w:rFonts w:hint="eastAsia" w:ascii="方正仿宋_GBK" w:hAnsi="宋体" w:eastAsia="方正仿宋_GBK" w:cs="宋体"/>
          <w:b/>
          <w:color w:val="000000" w:themeColor="text1"/>
          <w:sz w:val="28"/>
          <w:szCs w:val="21"/>
          <w14:textFill>
            <w14:solidFill>
              <w14:schemeClr w14:val="tx1"/>
            </w14:solidFill>
          </w14:textFill>
        </w:rPr>
      </w:pPr>
      <w:r>
        <w:rPr>
          <w:rFonts w:hint="eastAsia" w:ascii="方正仿宋_GBK" w:hAnsi="宋体" w:eastAsia="方正仿宋_GBK" w:cs="宋体"/>
          <w:b/>
          <w:color w:val="000000" w:themeColor="text1"/>
          <w:sz w:val="28"/>
          <w:szCs w:val="21"/>
          <w14:textFill>
            <w14:solidFill>
              <w14:schemeClr w14:val="tx1"/>
            </w14:solidFill>
          </w14:textFill>
        </w:rPr>
        <w:t>（一）开标一览表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103"/>
      </w:tblGrid>
      <w:tr w14:paraId="6304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875" w:type="dxa"/>
            <w:vAlign w:val="center"/>
          </w:tcPr>
          <w:p w14:paraId="565A7B8D">
            <w:pPr>
              <w:snapToGrid w:val="0"/>
              <w:ind w:firstLine="480"/>
              <w:jc w:val="center"/>
              <w:rPr>
                <w:rFonts w:ascii="Times New Roman" w:hAnsi="Times New Roman" w:eastAsia="仿宋" w:cs="Times New Roman"/>
                <w:color w:val="000000" w:themeColor="text1"/>
                <w:szCs w:val="28"/>
                <w14:textFill>
                  <w14:solidFill>
                    <w14:schemeClr w14:val="tx1"/>
                  </w14:solidFill>
                </w14:textFill>
              </w:rPr>
            </w:pPr>
            <w:r>
              <w:rPr>
                <w:rFonts w:hint="eastAsia" w:ascii="Times New Roman" w:hAnsi="Times New Roman" w:eastAsia="仿宋" w:cs="Times New Roman"/>
                <w:color w:val="000000" w:themeColor="text1"/>
                <w:szCs w:val="28"/>
                <w14:textFill>
                  <w14:solidFill>
                    <w14:schemeClr w14:val="tx1"/>
                  </w14:solidFill>
                </w14:textFill>
              </w:rPr>
              <w:t>竞价人</w:t>
            </w:r>
          </w:p>
        </w:tc>
        <w:tc>
          <w:tcPr>
            <w:tcW w:w="6103" w:type="dxa"/>
            <w:vAlign w:val="center"/>
          </w:tcPr>
          <w:p w14:paraId="6842BAC5">
            <w:pPr>
              <w:snapToGrid w:val="0"/>
              <w:ind w:firstLineChars="300"/>
              <w:jc w:val="left"/>
              <w:rPr>
                <w:rFonts w:ascii="Times New Roman" w:hAnsi="Times New Roman" w:eastAsia="仿宋" w:cs="Times New Roman"/>
                <w:color w:val="000000" w:themeColor="text1"/>
                <w:szCs w:val="28"/>
                <w14:textFill>
                  <w14:solidFill>
                    <w14:schemeClr w14:val="tx1"/>
                  </w14:solidFill>
                </w14:textFill>
              </w:rPr>
            </w:pPr>
          </w:p>
        </w:tc>
      </w:tr>
      <w:tr w14:paraId="15CD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exact"/>
          <w:jc w:val="center"/>
        </w:trPr>
        <w:tc>
          <w:tcPr>
            <w:tcW w:w="2875" w:type="dxa"/>
            <w:vAlign w:val="center"/>
          </w:tcPr>
          <w:p w14:paraId="2E72995A">
            <w:pPr>
              <w:snapToGrid w:val="0"/>
              <w:ind w:firstLine="480"/>
              <w:jc w:val="center"/>
              <w:rPr>
                <w:rFonts w:ascii="Times New Roman" w:hAnsi="Times New Roman" w:eastAsia="仿宋" w:cs="Times New Roman"/>
                <w:color w:val="000000" w:themeColor="text1"/>
                <w:szCs w:val="28"/>
                <w14:textFill>
                  <w14:solidFill>
                    <w14:schemeClr w14:val="tx1"/>
                  </w14:solidFill>
                </w14:textFill>
              </w:rPr>
            </w:pPr>
            <w:r>
              <w:rPr>
                <w:rFonts w:ascii="Times New Roman" w:hAnsi="Times New Roman" w:eastAsia="仿宋" w:cs="Times New Roman"/>
                <w:color w:val="000000" w:themeColor="text1"/>
                <w:szCs w:val="28"/>
                <w14:textFill>
                  <w14:solidFill>
                    <w14:schemeClr w14:val="tx1"/>
                  </w14:solidFill>
                </w14:textFill>
              </w:rPr>
              <w:t>项目名称</w:t>
            </w:r>
          </w:p>
        </w:tc>
        <w:tc>
          <w:tcPr>
            <w:tcW w:w="6103" w:type="dxa"/>
            <w:vAlign w:val="center"/>
          </w:tcPr>
          <w:p w14:paraId="7D71E78F">
            <w:pPr>
              <w:snapToGrid w:val="0"/>
              <w:ind w:firstLine="0" w:firstLineChars="0"/>
              <w:rPr>
                <w:rFonts w:ascii="Times New Roman" w:hAnsi="Times New Roman" w:eastAsia="仿宋" w:cs="Times New Roman"/>
                <w:color w:val="000000" w:themeColor="text1"/>
                <w:szCs w:val="28"/>
                <w14:textFill>
                  <w14:solidFill>
                    <w14:schemeClr w14:val="tx1"/>
                  </w14:solidFill>
                </w14:textFill>
              </w:rPr>
            </w:pPr>
            <w:r>
              <w:rPr>
                <w:rFonts w:hint="eastAsia" w:eastAsia="仿宋" w:cs="Times New Roman"/>
                <w:color w:val="000000" w:themeColor="text1"/>
                <w:szCs w:val="28"/>
                <w14:textFill>
                  <w14:solidFill>
                    <w14:schemeClr w14:val="tx1"/>
                  </w14:solidFill>
                </w14:textFill>
              </w:rPr>
              <w:t>二车间绞肉机及配套设备采购项目</w:t>
            </w:r>
          </w:p>
        </w:tc>
      </w:tr>
      <w:tr w14:paraId="7CB3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875" w:type="dxa"/>
            <w:vAlign w:val="center"/>
          </w:tcPr>
          <w:p w14:paraId="02CDB450">
            <w:pPr>
              <w:snapToGrid w:val="0"/>
              <w:ind w:firstLine="480"/>
              <w:jc w:val="center"/>
              <w:rPr>
                <w:rFonts w:ascii="Times New Roman" w:hAnsi="Times New Roman" w:eastAsia="仿宋" w:cs="Times New Roman"/>
                <w:color w:val="000000" w:themeColor="text1"/>
                <w:szCs w:val="28"/>
                <w14:textFill>
                  <w14:solidFill>
                    <w14:schemeClr w14:val="tx1"/>
                  </w14:solidFill>
                </w14:textFill>
              </w:rPr>
            </w:pPr>
            <w:r>
              <w:rPr>
                <w:rFonts w:ascii="Times New Roman" w:hAnsi="Times New Roman" w:eastAsia="仿宋" w:cs="Times New Roman"/>
                <w:color w:val="000000" w:themeColor="text1"/>
                <w:szCs w:val="28"/>
                <w14:textFill>
                  <w14:solidFill>
                    <w14:schemeClr w14:val="tx1"/>
                  </w14:solidFill>
                </w14:textFill>
              </w:rPr>
              <w:t>采购限价（元）</w:t>
            </w:r>
          </w:p>
        </w:tc>
        <w:tc>
          <w:tcPr>
            <w:tcW w:w="6103" w:type="dxa"/>
            <w:vAlign w:val="center"/>
          </w:tcPr>
          <w:p w14:paraId="288B2267">
            <w:pPr>
              <w:snapToGrid w:val="0"/>
              <w:ind w:firstLine="480"/>
              <w:jc w:val="center"/>
              <w:rPr>
                <w:rFonts w:ascii="Times New Roman" w:hAnsi="Times New Roman" w:eastAsia="仿宋" w:cs="Times New Roman"/>
                <w:color w:val="000000" w:themeColor="text1"/>
                <w:szCs w:val="28"/>
                <w14:textFill>
                  <w14:solidFill>
                    <w14:schemeClr w14:val="tx1"/>
                  </w14:solidFill>
                </w14:textFill>
              </w:rPr>
            </w:pPr>
          </w:p>
        </w:tc>
      </w:tr>
      <w:tr w14:paraId="7E13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875" w:type="dxa"/>
            <w:vMerge w:val="restart"/>
            <w:vAlign w:val="center"/>
          </w:tcPr>
          <w:p w14:paraId="0F0A2C01">
            <w:pPr>
              <w:snapToGrid w:val="0"/>
              <w:ind w:firstLine="480"/>
              <w:jc w:val="center"/>
              <w:rPr>
                <w:rFonts w:ascii="Times New Roman" w:hAnsi="Times New Roman" w:eastAsia="仿宋" w:cs="Times New Roman"/>
                <w:color w:val="000000" w:themeColor="text1"/>
                <w:szCs w:val="28"/>
                <w14:textFill>
                  <w14:solidFill>
                    <w14:schemeClr w14:val="tx1"/>
                  </w14:solidFill>
                </w14:textFill>
              </w:rPr>
            </w:pPr>
            <w:r>
              <w:rPr>
                <w:rFonts w:hint="eastAsia" w:ascii="Times New Roman" w:hAnsi="Times New Roman" w:eastAsia="仿宋" w:cs="Times New Roman"/>
                <w:color w:val="000000" w:themeColor="text1"/>
                <w:szCs w:val="28"/>
                <w14:textFill>
                  <w14:solidFill>
                    <w14:schemeClr w14:val="tx1"/>
                  </w14:solidFill>
                </w14:textFill>
              </w:rPr>
              <w:t>竞价</w:t>
            </w:r>
            <w:r>
              <w:rPr>
                <w:rFonts w:ascii="Times New Roman" w:hAnsi="Times New Roman" w:eastAsia="仿宋" w:cs="Times New Roman"/>
                <w:color w:val="000000" w:themeColor="text1"/>
                <w:szCs w:val="28"/>
                <w14:textFill>
                  <w14:solidFill>
                    <w14:schemeClr w14:val="tx1"/>
                  </w14:solidFill>
                </w14:textFill>
              </w:rPr>
              <w:t>报价（元）</w:t>
            </w:r>
          </w:p>
        </w:tc>
        <w:tc>
          <w:tcPr>
            <w:tcW w:w="6103" w:type="dxa"/>
            <w:vAlign w:val="center"/>
          </w:tcPr>
          <w:p w14:paraId="1446E02F">
            <w:pPr>
              <w:snapToGrid w:val="0"/>
              <w:ind w:firstLine="480"/>
              <w:rPr>
                <w:rFonts w:ascii="Times New Roman" w:hAnsi="Times New Roman" w:eastAsia="仿宋" w:cs="Times New Roman"/>
                <w:color w:val="000000" w:themeColor="text1"/>
                <w:szCs w:val="28"/>
                <w14:textFill>
                  <w14:solidFill>
                    <w14:schemeClr w14:val="tx1"/>
                  </w14:solidFill>
                </w14:textFill>
              </w:rPr>
            </w:pPr>
            <w:r>
              <w:rPr>
                <w:rFonts w:ascii="Times New Roman" w:hAnsi="Times New Roman" w:eastAsia="仿宋" w:cs="Times New Roman"/>
                <w:color w:val="000000" w:themeColor="text1"/>
                <w:szCs w:val="28"/>
                <w14:textFill>
                  <w14:solidFill>
                    <w14:schemeClr w14:val="tx1"/>
                  </w14:solidFill>
                </w14:textFill>
              </w:rPr>
              <w:t>小写：</w:t>
            </w:r>
          </w:p>
        </w:tc>
      </w:tr>
      <w:tr w14:paraId="0F4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875" w:type="dxa"/>
            <w:vMerge w:val="continue"/>
            <w:vAlign w:val="center"/>
          </w:tcPr>
          <w:p w14:paraId="3DB04298">
            <w:pPr>
              <w:snapToGrid w:val="0"/>
              <w:ind w:firstLineChars="300"/>
              <w:jc w:val="left"/>
              <w:rPr>
                <w:rFonts w:ascii="Times New Roman" w:hAnsi="Times New Roman" w:eastAsia="仿宋" w:cs="Times New Roman"/>
                <w:color w:val="000000" w:themeColor="text1"/>
                <w:szCs w:val="28"/>
                <w14:textFill>
                  <w14:solidFill>
                    <w14:schemeClr w14:val="tx1"/>
                  </w14:solidFill>
                </w14:textFill>
              </w:rPr>
            </w:pPr>
          </w:p>
        </w:tc>
        <w:tc>
          <w:tcPr>
            <w:tcW w:w="6103" w:type="dxa"/>
            <w:vAlign w:val="center"/>
          </w:tcPr>
          <w:p w14:paraId="2DF79CDC">
            <w:pPr>
              <w:snapToGrid w:val="0"/>
              <w:ind w:firstLine="480"/>
              <w:rPr>
                <w:rFonts w:ascii="Times New Roman" w:hAnsi="Times New Roman" w:eastAsia="仿宋" w:cs="Times New Roman"/>
                <w:color w:val="000000" w:themeColor="text1"/>
                <w:szCs w:val="28"/>
                <w14:textFill>
                  <w14:solidFill>
                    <w14:schemeClr w14:val="tx1"/>
                  </w14:solidFill>
                </w14:textFill>
              </w:rPr>
            </w:pPr>
            <w:r>
              <w:rPr>
                <w:rFonts w:ascii="Times New Roman" w:hAnsi="Times New Roman" w:eastAsia="仿宋" w:cs="Times New Roman"/>
                <w:color w:val="000000" w:themeColor="text1"/>
                <w:szCs w:val="28"/>
                <w14:textFill>
                  <w14:solidFill>
                    <w14:schemeClr w14:val="tx1"/>
                  </w14:solidFill>
                </w14:textFill>
              </w:rPr>
              <w:t>大写：</w:t>
            </w:r>
          </w:p>
        </w:tc>
      </w:tr>
      <w:tr w14:paraId="7DAB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8978" w:type="dxa"/>
            <w:gridSpan w:val="2"/>
            <w:vAlign w:val="center"/>
          </w:tcPr>
          <w:p w14:paraId="0C824C08">
            <w:pPr>
              <w:spacing w:line="480" w:lineRule="exact"/>
              <w:ind w:firstLine="480"/>
              <w:rPr>
                <w:rFonts w:ascii="Times New Roman" w:hAnsi="Times New Roman" w:eastAsia="仿宋"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本项目</w:t>
            </w:r>
            <w:r>
              <w:rPr>
                <w:rFonts w:hint="eastAsia" w:ascii="Times New Roman" w:hAnsi="Times New Roman" w:eastAsia="方正仿宋_GBK" w:cs="Times New Roman"/>
                <w:color w:val="000000" w:themeColor="text1"/>
                <w:szCs w:val="28"/>
                <w14:textFill>
                  <w14:solidFill>
                    <w14:schemeClr w14:val="tx1"/>
                  </w14:solidFill>
                </w14:textFill>
              </w:rPr>
              <w:t>竞价</w:t>
            </w:r>
            <w:r>
              <w:rPr>
                <w:rFonts w:ascii="Times New Roman" w:hAnsi="Times New Roman" w:eastAsia="方正仿宋_GBK" w:cs="Times New Roman"/>
                <w:color w:val="000000" w:themeColor="text1"/>
                <w:szCs w:val="28"/>
                <w14:textFill>
                  <w14:solidFill>
                    <w14:schemeClr w14:val="tx1"/>
                  </w14:solidFill>
                </w14:textFill>
              </w:rPr>
              <w:t>报价为包干价，即</w:t>
            </w:r>
            <w:r>
              <w:rPr>
                <w:rFonts w:hint="eastAsia" w:ascii="Times New Roman" w:hAnsi="Times New Roman" w:eastAsia="方正仿宋_GBK" w:cs="Times New Roman"/>
                <w:color w:val="000000" w:themeColor="text1"/>
                <w:szCs w:val="28"/>
                <w14:textFill>
                  <w14:solidFill>
                    <w14:schemeClr w14:val="tx1"/>
                  </w14:solidFill>
                </w14:textFill>
              </w:rPr>
              <w:t>竞价</w:t>
            </w:r>
            <w:r>
              <w:rPr>
                <w:rFonts w:ascii="Times New Roman" w:hAnsi="Times New Roman" w:eastAsia="方正仿宋_GBK" w:cs="Times New Roman"/>
                <w:color w:val="000000" w:themeColor="text1"/>
                <w:szCs w:val="28"/>
                <w14:textFill>
                  <w14:solidFill>
                    <w14:schemeClr w14:val="tx1"/>
                  </w14:solidFill>
                </w14:textFill>
              </w:rPr>
              <w:t>报价金额包括：本次报价须为人民币报价，包括完成本项目所需的</w:t>
            </w:r>
            <w:r>
              <w:rPr>
                <w:rFonts w:hint="eastAsia" w:ascii="Times New Roman" w:hAnsi="Times New Roman" w:eastAsia="方正仿宋_GBK" w:cs="Times New Roman"/>
                <w:color w:val="000000" w:themeColor="text1"/>
                <w:szCs w:val="28"/>
                <w14:textFill>
                  <w14:solidFill>
                    <w14:schemeClr w14:val="tx1"/>
                  </w14:solidFill>
                </w14:textFill>
              </w:rPr>
              <w:t>原材料费、制造费、运输费、保险费、装卸费、仓储费、增值税等税费等所有费用</w:t>
            </w:r>
            <w:r>
              <w:rPr>
                <w:rFonts w:ascii="Times New Roman" w:hAnsi="Times New Roman" w:eastAsia="方正仿宋_GBK" w:cs="Times New Roman"/>
                <w:color w:val="000000" w:themeColor="text1"/>
                <w:szCs w:val="28"/>
                <w14:textFill>
                  <w14:solidFill>
                    <w14:schemeClr w14:val="tx1"/>
                  </w14:solidFill>
                </w14:textFill>
              </w:rPr>
              <w:t>。因成交</w:t>
            </w:r>
            <w:r>
              <w:rPr>
                <w:rFonts w:hint="eastAsia" w:ascii="Times New Roman" w:hAnsi="Times New Roman" w:eastAsia="方正仿宋_GBK" w:cs="Times New Roman"/>
                <w:color w:val="000000" w:themeColor="text1"/>
                <w:szCs w:val="28"/>
                <w14:textFill>
                  <w14:solidFill>
                    <w14:schemeClr w14:val="tx1"/>
                  </w14:solidFill>
                </w14:textFill>
              </w:rPr>
              <w:t>竞价人</w:t>
            </w:r>
            <w:r>
              <w:rPr>
                <w:rFonts w:ascii="Times New Roman" w:hAnsi="Times New Roman" w:eastAsia="方正仿宋_GBK" w:cs="Times New Roman"/>
                <w:color w:val="000000" w:themeColor="text1"/>
                <w:szCs w:val="28"/>
                <w14:textFill>
                  <w14:solidFill>
                    <w14:schemeClr w14:val="tx1"/>
                  </w14:solidFill>
                </w14:textFill>
              </w:rPr>
              <w:t>自身原因造成漏报、少报皆由其自行承担责任，</w:t>
            </w:r>
            <w:r>
              <w:rPr>
                <w:rFonts w:hint="eastAsia" w:ascii="Times New Roman" w:hAnsi="Times New Roman" w:eastAsia="方正仿宋_GBK" w:cs="Times New Roman"/>
                <w:color w:val="000000" w:themeColor="text1"/>
                <w:szCs w:val="28"/>
                <w14:textFill>
                  <w14:solidFill>
                    <w14:schemeClr w14:val="tx1"/>
                  </w14:solidFill>
                </w14:textFill>
              </w:rPr>
              <w:t>比价人</w:t>
            </w:r>
            <w:r>
              <w:rPr>
                <w:rFonts w:ascii="Times New Roman" w:hAnsi="Times New Roman" w:eastAsia="方正仿宋_GBK" w:cs="Times New Roman"/>
                <w:color w:val="000000" w:themeColor="text1"/>
                <w:szCs w:val="28"/>
                <w14:textFill>
                  <w14:solidFill>
                    <w14:schemeClr w14:val="tx1"/>
                  </w14:solidFill>
                </w14:textFill>
              </w:rPr>
              <w:t>不再补偿。</w:t>
            </w:r>
            <w:r>
              <w:rPr>
                <w:rFonts w:hint="eastAsia" w:ascii="Times New Roman" w:hAnsi="Times New Roman" w:eastAsia="方正仿宋_GBK" w:cs="Times New Roman"/>
                <w:color w:val="000000" w:themeColor="text1"/>
                <w:szCs w:val="28"/>
                <w14:textFill>
                  <w14:solidFill>
                    <w14:schemeClr w14:val="tx1"/>
                  </w14:solidFill>
                </w14:textFill>
              </w:rPr>
              <w:t>比价人</w:t>
            </w:r>
            <w:r>
              <w:rPr>
                <w:rFonts w:ascii="Times New Roman" w:hAnsi="Times New Roman" w:eastAsia="方正仿宋_GBK" w:cs="Times New Roman"/>
                <w:color w:val="000000" w:themeColor="text1"/>
                <w:szCs w:val="28"/>
                <w14:textFill>
                  <w14:solidFill>
                    <w14:schemeClr w14:val="tx1"/>
                  </w14:solidFill>
                </w14:textFill>
              </w:rPr>
              <w:t>不再为此向</w:t>
            </w:r>
            <w:r>
              <w:rPr>
                <w:rFonts w:hint="eastAsia" w:eastAsia="方正仿宋_GBK" w:cs="Times New Roman"/>
                <w:color w:val="000000" w:themeColor="text1"/>
                <w:szCs w:val="28"/>
                <w14:textFill>
                  <w14:solidFill>
                    <w14:schemeClr w14:val="tx1"/>
                  </w14:solidFill>
                </w14:textFill>
              </w:rPr>
              <w:t>中标</w:t>
            </w:r>
            <w:r>
              <w:rPr>
                <w:rFonts w:ascii="Times New Roman" w:hAnsi="Times New Roman" w:eastAsia="方正仿宋_GBK" w:cs="Times New Roman"/>
                <w:color w:val="000000" w:themeColor="text1"/>
                <w:szCs w:val="28"/>
                <w14:textFill>
                  <w14:solidFill>
                    <w14:schemeClr w14:val="tx1"/>
                  </w14:solidFill>
                </w14:textFill>
              </w:rPr>
              <w:t>人支付其它任何费用，除非合同中另有规定的除外。</w:t>
            </w:r>
          </w:p>
        </w:tc>
      </w:tr>
    </w:tbl>
    <w:p w14:paraId="37511FCD">
      <w:pPr>
        <w:ind w:firstLine="0" w:firstLineChars="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                      法定代表人（或法定代表人授权代表）：</w:t>
      </w:r>
    </w:p>
    <w:p w14:paraId="3E3DCBB9">
      <w:pPr>
        <w:ind w:firstLine="0" w:firstLineChars="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（竞价人公章）                                     （签署或盖章）</w:t>
      </w:r>
    </w:p>
    <w:p w14:paraId="63BD4049">
      <w:pPr>
        <w:wordWrap w:val="0"/>
        <w:ind w:firstLine="6720" w:firstLineChars="280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年   月   日          </w:t>
      </w:r>
    </w:p>
    <w:p w14:paraId="6E5826AE">
      <w:pPr>
        <w:ind w:firstLine="480"/>
        <w:rPr>
          <w:rFonts w:hint="eastAsia" w:ascii="方正仿宋_GBK" w:hAnsi="宋体" w:eastAsia="方正仿宋_GBK" w:cs="宋体"/>
          <w:color w:val="000000" w:themeColor="text1"/>
          <w14:textFill>
            <w14:solidFill>
              <w14:schemeClr w14:val="tx1"/>
            </w14:solidFill>
          </w14:textFill>
        </w:rPr>
      </w:pPr>
    </w:p>
    <w:p w14:paraId="46D0CC35">
      <w:pPr>
        <w:ind w:firstLine="480"/>
        <w:rPr>
          <w:rFonts w:hint="eastAsia" w:ascii="方正仿宋_GBK" w:hAnsi="宋体" w:eastAsia="方正仿宋_GBK" w:cs="宋体"/>
          <w:color w:val="000000" w:themeColor="text1"/>
          <w14:textFill>
            <w14:solidFill>
              <w14:schemeClr w14:val="tx1"/>
            </w14:solidFill>
          </w14:textFill>
        </w:rPr>
      </w:pPr>
      <w:r>
        <w:rPr>
          <w:rFonts w:ascii="方正仿宋_GBK" w:hAnsi="宋体" w:eastAsia="方正仿宋_GBK"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6985</wp:posOffset>
                </wp:positionV>
                <wp:extent cx="5113020" cy="0"/>
                <wp:effectExtent l="0" t="4445" r="0" b="5080"/>
                <wp:wrapNone/>
                <wp:docPr id="1889084993" name="AutoShape 9"/>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a:effectLst/>
                      </wps:spPr>
                      <wps:bodyPr/>
                    </wps:wsp>
                  </a:graphicData>
                </a:graphic>
              </wp:anchor>
            </w:drawing>
          </mc:Choice>
          <mc:Fallback>
            <w:pict>
              <v:shape id="AutoShape 9" o:spid="_x0000_s1026" o:spt="32" type="#_x0000_t32" style="position:absolute;left:0pt;margin-left:20.6pt;margin-top:0.55pt;height:0pt;width:402.6pt;z-index:251659264;mso-width-relative:page;mso-height-relative:page;" filled="f" stroked="t" coordsize="21600,21600" o:gfxdata="UEsDBAoAAAAAAIdO4kAAAAAAAAAAAAAAAAAEAAAAZHJzL1BLAwQUAAAACACHTuJAgAe/qtMAAAAG&#10;AQAADwAAAGRycy9kb3ducmV2LnhtbE2Oy07DMBBF90j8gzVI7KiTKKqqEKeLAhKrCkoFYjeNp3HU&#10;eBzFzoO/x7CB5X3o3lNuF9uJiQbfOlaQrhIQxLXTLTcKjm9PdxsQPiBr7ByTgi/ysK2ur0ostJv5&#10;laZDaEQcYV+gAhNCX0jpa0MW/cr1xDE7u8FiiHJopB5wjuO2k1mSrKXFluODwZ52hurLYbQKLD67&#10;MTO7af++PLzo+ZPr/eOHUrc3aXIPItAS/srwgx/RoYpMJzey9qJTkKdZbEY/BRHjTb7OQZx+taxK&#10;+R+/+gZQSwMEFAAAAAgAh07iQHB235/iAQAAyQMAAA4AAABkcnMvZTJvRG9jLnhtbK1TTW/bMAy9&#10;D9h/EHRfbCdrkRhxiiFBd+m2AO1+gCLLtjBJFEQlTv79KOVjXXfpYT4Iokg+8j3Sy4ejNeygAmpw&#10;Da8mJWfKSWi16xv+8+Xx05wzjMK1woBTDT8p5A+rjx+Wo6/VFAYwrQqMQBzWo2/4EKOviwLloKzA&#10;CXjlyNlBsCKSGfqiDWIkdGuKaVneFyOE1geQCpFeN2cnvyCG9wBC12mpNiD3Vrl4Rg3KiEiUcNAe&#10;+Sp323VKxh9dhyoy03BiGvNJRei+S2exWoq6D8IPWl5aEO9p4Q0nK7SjojeojYiC7YP+B8pqGQCh&#10;ixMJtjgTyYoQi6p8o83zILzKXEhq9DfR8f/Byu+HbWC6pU2Yzxfl/PNiMePMCUuT/7KPkFtgi6TT&#10;6LGm8LXbhsRUHt2zfwL5C5mD9SBcr3Lwy8lTbpUyir9SkoGequ3Gb9BSjCD8LNqxCzZBkhzsmGdz&#10;us1GHSOT9HhXVbNySmOTV18h6muiDxi/KrAsXRqOMQjdD3ENztEGQKhyGXF4wpjaEvU1IVV18KiN&#10;yYtgHBsbfj+7K3MCgtFtcqYwDP1ubQI7iLRK+cscyfM6LMDetecixqU8lbfwUvmqwVnNHbSnbbgK&#10;RRPOvV22Ma3QazvL+ecP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Ae/qtMAAAAGAQAADwAA&#10;AAAAAAABACAAAAAiAAAAZHJzL2Rvd25yZXYueG1sUEsBAhQAFAAAAAgAh07iQHB235/iAQAAyQMA&#10;AA4AAAAAAAAAAQAgAAAAIgEAAGRycy9lMm9Eb2MueG1sUEsFBgAAAAAGAAYAWQEAAHYFAAAAAA==&#10;">
                <v:fill on="f" focussize="0,0"/>
                <v:stroke weight="0.5pt" color="#000000" joinstyle="round"/>
                <v:imagedata o:title=""/>
                <o:lock v:ext="edit" aspectratio="f"/>
              </v:shape>
            </w:pict>
          </mc:Fallback>
        </mc:AlternateContent>
      </w:r>
      <w:r>
        <w:rPr>
          <w:rFonts w:hint="eastAsia" w:ascii="方正仿宋_GBK" w:hAnsi="宋体" w:eastAsia="方正仿宋_GBK" w:cs="宋体"/>
          <w:color w:val="000000" w:themeColor="text1"/>
          <w14:textFill>
            <w14:solidFill>
              <w14:schemeClr w14:val="tx1"/>
            </w14:solidFill>
          </w14:textFill>
        </w:rPr>
        <w:t>说明：</w:t>
      </w:r>
    </w:p>
    <w:p w14:paraId="5336F5C7">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1.开标一览表按格式填列；</w:t>
      </w:r>
    </w:p>
    <w:p w14:paraId="7E7FBC0A">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2.开标一览表在开标大会上当众宣读，务必填写清楚，准确无误。</w:t>
      </w:r>
    </w:p>
    <w:p w14:paraId="055DC94B">
      <w:pPr>
        <w:pStyle w:val="42"/>
        <w:rPr>
          <w:rFonts w:hint="eastAsia"/>
          <w:color w:val="000000" w:themeColor="text1"/>
          <w14:textFill>
            <w14:solidFill>
              <w14:schemeClr w14:val="tx1"/>
            </w14:solidFill>
          </w14:textFill>
        </w:rPr>
      </w:pPr>
    </w:p>
    <w:p w14:paraId="79FFE6E2">
      <w:pPr>
        <w:pStyle w:val="42"/>
        <w:rPr>
          <w:rFonts w:hint="eastAsia"/>
          <w:color w:val="000000" w:themeColor="text1"/>
          <w14:textFill>
            <w14:solidFill>
              <w14:schemeClr w14:val="tx1"/>
            </w14:solidFill>
          </w14:textFill>
        </w:rPr>
      </w:pPr>
    </w:p>
    <w:p w14:paraId="6949657C">
      <w:pPr>
        <w:pStyle w:val="42"/>
        <w:rPr>
          <w:rFonts w:hint="eastAsia"/>
          <w:color w:val="000000" w:themeColor="text1"/>
          <w14:textFill>
            <w14:solidFill>
              <w14:schemeClr w14:val="tx1"/>
            </w14:solidFill>
          </w14:textFill>
        </w:rPr>
      </w:pPr>
    </w:p>
    <w:p w14:paraId="3FC729C7">
      <w:pPr>
        <w:pStyle w:val="42"/>
        <w:rPr>
          <w:rFonts w:hint="eastAsia"/>
          <w:color w:val="000000" w:themeColor="text1"/>
          <w14:textFill>
            <w14:solidFill>
              <w14:schemeClr w14:val="tx1"/>
            </w14:solidFill>
          </w14:textFill>
        </w:rPr>
      </w:pPr>
    </w:p>
    <w:p w14:paraId="569A8811">
      <w:pPr>
        <w:pStyle w:val="42"/>
        <w:rPr>
          <w:rFonts w:hint="eastAsia"/>
          <w:color w:val="000000" w:themeColor="text1"/>
          <w14:textFill>
            <w14:solidFill>
              <w14:schemeClr w14:val="tx1"/>
            </w14:solidFill>
          </w14:textFill>
        </w:rPr>
      </w:pPr>
    </w:p>
    <w:p w14:paraId="0162C6AD">
      <w:pPr>
        <w:pStyle w:val="42"/>
        <w:rPr>
          <w:rFonts w:hint="eastAsia"/>
          <w:color w:val="000000" w:themeColor="text1"/>
          <w14:textFill>
            <w14:solidFill>
              <w14:schemeClr w14:val="tx1"/>
            </w14:solidFill>
          </w14:textFill>
        </w:rPr>
      </w:pPr>
    </w:p>
    <w:p w14:paraId="456C8DCD">
      <w:pPr>
        <w:pStyle w:val="42"/>
        <w:rPr>
          <w:rFonts w:hint="eastAsia"/>
          <w:color w:val="000000" w:themeColor="text1"/>
          <w14:textFill>
            <w14:solidFill>
              <w14:schemeClr w14:val="tx1"/>
            </w14:solidFill>
          </w14:textFill>
        </w:rPr>
      </w:pPr>
    </w:p>
    <w:p w14:paraId="7088B8BA">
      <w:pPr>
        <w:pStyle w:val="4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(二)设备报价清单</w:t>
      </w:r>
    </w:p>
    <w:p w14:paraId="4823B945">
      <w:pPr>
        <w:ind w:firstLine="480"/>
        <w:rPr>
          <w:rFonts w:hint="eastAsia" w:ascii="方正仿宋_GBK" w:hAnsi="宋体" w:eastAsia="方正仿宋_GBK" w:cs="宋体"/>
          <w:color w:val="000000" w:themeColor="text1"/>
          <w:szCs w:val="24"/>
          <w14:textFill>
            <w14:solidFill>
              <w14:schemeClr w14:val="tx1"/>
            </w14:solidFill>
          </w14:textFill>
        </w:rPr>
      </w:pPr>
    </w:p>
    <w:p w14:paraId="1D877618">
      <w:pPr>
        <w:pStyle w:val="3"/>
        <w:spacing w:before="120" w:after="120"/>
        <w:ind w:firstLine="560"/>
        <w:rPr>
          <w:rFonts w:hint="eastAsia" w:ascii="方正仿宋_GBK" w:hAnsi="宋体" w:eastAsia="方正仿宋_GBK" w:cs="宋体"/>
          <w:color w:val="000000" w:themeColor="text1"/>
          <w14:textFill>
            <w14:solidFill>
              <w14:schemeClr w14:val="tx1"/>
            </w14:solidFill>
          </w14:textFill>
        </w:rPr>
      </w:pPr>
      <w:bookmarkStart w:id="781" w:name="_Toc21640"/>
      <w:bookmarkStart w:id="782" w:name="_Toc384905086"/>
      <w:r>
        <w:rPr>
          <w:rFonts w:ascii="方正仿宋_GBK" w:eastAsia="方正仿宋_GBK"/>
          <w:color w:val="000000" w:themeColor="text1"/>
          <w14:textFill>
            <w14:solidFill>
              <w14:schemeClr w14:val="tx1"/>
            </w14:solidFill>
          </w14:textFill>
        </w:rPr>
        <w:br w:type="page"/>
      </w:r>
      <w:bookmarkStart w:id="783" w:name="_Toc15846"/>
      <w:r>
        <w:rPr>
          <w:rFonts w:hint="eastAsia" w:ascii="方正仿宋_GBK" w:eastAsia="方正仿宋_GBK"/>
          <w:color w:val="000000" w:themeColor="text1"/>
          <w14:textFill>
            <w14:solidFill>
              <w14:schemeClr w14:val="tx1"/>
            </w14:solidFill>
          </w14:textFill>
        </w:rPr>
        <w:t>二、服务</w:t>
      </w:r>
      <w:bookmarkEnd w:id="781"/>
      <w:r>
        <w:rPr>
          <w:rFonts w:hint="eastAsia" w:ascii="方正仿宋_GBK" w:eastAsia="方正仿宋_GBK"/>
          <w:color w:val="000000" w:themeColor="text1"/>
          <w14:textFill>
            <w14:solidFill>
              <w14:schemeClr w14:val="tx1"/>
            </w14:solidFill>
          </w14:textFill>
        </w:rPr>
        <w:t>文件</w:t>
      </w:r>
      <w:bookmarkEnd w:id="783"/>
    </w:p>
    <w:p w14:paraId="70CA2B04">
      <w:pPr>
        <w:ind w:left="438" w:firstLine="0" w:firstLineChars="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（一）服务条款差异表</w:t>
      </w:r>
    </w:p>
    <w:p w14:paraId="16E1306B">
      <w:pPr>
        <w:ind w:left="438" w:firstLine="0" w:firstLineChars="0"/>
        <w:rPr>
          <w:rFonts w:hint="eastAsia" w:ascii="方正仿宋_GBK" w:hAnsi="宋体" w:eastAsia="方正仿宋_GBK" w:cs="宋体"/>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项目编号</w:t>
      </w:r>
      <w:r>
        <w:rPr>
          <w:rFonts w:hint="eastAsia" w:ascii="方正仿宋_GBK" w:hAnsi="宋体" w:eastAsia="方正仿宋_GBK" w:cs="宋体"/>
          <w:color w:val="000000" w:themeColor="text1"/>
          <w14:textFill>
            <w14:solidFill>
              <w14:schemeClr w14:val="tx1"/>
            </w14:solidFill>
          </w14:textFill>
        </w:rPr>
        <w:t>：</w:t>
      </w:r>
    </w:p>
    <w:p w14:paraId="580B2501">
      <w:pPr>
        <w:ind w:left="438" w:firstLine="0" w:firstLineChars="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项目名称：</w:t>
      </w:r>
    </w:p>
    <w:tbl>
      <w:tblPr>
        <w:tblStyle w:val="3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406"/>
        <w:gridCol w:w="3407"/>
        <w:gridCol w:w="1391"/>
      </w:tblGrid>
      <w:tr w14:paraId="1A9D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4" w:type="dxa"/>
            <w:vAlign w:val="center"/>
          </w:tcPr>
          <w:p w14:paraId="3E9770AE">
            <w:pPr>
              <w:spacing w:line="240" w:lineRule="atLeast"/>
              <w:ind w:firstLine="0" w:firstLineChars="0"/>
              <w:jc w:val="center"/>
              <w:rPr>
                <w:rFonts w:hint="eastAsia" w:ascii="方正仿宋_GBK" w:hAnsi="宋体" w:eastAsia="方正仿宋_GBK" w:cs="宋体"/>
                <w:b/>
                <w:color w:val="000000" w:themeColor="text1"/>
                <w:sz w:val="21"/>
                <w:szCs w:val="21"/>
                <w14:textFill>
                  <w14:solidFill>
                    <w14:schemeClr w14:val="tx1"/>
                  </w14:solidFill>
                </w14:textFill>
              </w:rPr>
            </w:pPr>
            <w:r>
              <w:rPr>
                <w:rFonts w:hint="eastAsia" w:ascii="方正仿宋_GBK" w:hAnsi="宋体" w:eastAsia="方正仿宋_GBK" w:cs="宋体"/>
                <w:b/>
                <w:color w:val="000000" w:themeColor="text1"/>
                <w:sz w:val="21"/>
                <w:szCs w:val="21"/>
                <w14:textFill>
                  <w14:solidFill>
                    <w14:schemeClr w14:val="tx1"/>
                  </w14:solidFill>
                </w14:textFill>
              </w:rPr>
              <w:t>序号</w:t>
            </w:r>
          </w:p>
        </w:tc>
        <w:tc>
          <w:tcPr>
            <w:tcW w:w="3406" w:type="dxa"/>
            <w:vAlign w:val="center"/>
          </w:tcPr>
          <w:p w14:paraId="52CA8A78">
            <w:pPr>
              <w:spacing w:line="240" w:lineRule="atLeast"/>
              <w:ind w:firstLine="0" w:firstLineChars="0"/>
              <w:jc w:val="center"/>
              <w:rPr>
                <w:rFonts w:hint="eastAsia" w:ascii="方正仿宋_GBK" w:hAnsi="宋体" w:eastAsia="方正仿宋_GBK" w:cs="宋体"/>
                <w:b/>
                <w:color w:val="000000" w:themeColor="text1"/>
                <w:sz w:val="21"/>
                <w:szCs w:val="21"/>
                <w14:textFill>
                  <w14:solidFill>
                    <w14:schemeClr w14:val="tx1"/>
                  </w14:solidFill>
                </w14:textFill>
              </w:rPr>
            </w:pPr>
            <w:r>
              <w:rPr>
                <w:rFonts w:hint="eastAsia" w:ascii="方正仿宋_GBK" w:hAnsi="宋体" w:eastAsia="方正仿宋_GBK" w:cs="宋体"/>
                <w:b/>
                <w:color w:val="000000" w:themeColor="text1"/>
                <w:sz w:val="21"/>
                <w:szCs w:val="21"/>
                <w14:textFill>
                  <w14:solidFill>
                    <w14:schemeClr w14:val="tx1"/>
                  </w14:solidFill>
                </w14:textFill>
              </w:rPr>
              <w:t>招标要求</w:t>
            </w:r>
          </w:p>
        </w:tc>
        <w:tc>
          <w:tcPr>
            <w:tcW w:w="3407" w:type="dxa"/>
            <w:vAlign w:val="center"/>
          </w:tcPr>
          <w:p w14:paraId="3F2EED78">
            <w:pPr>
              <w:spacing w:line="240" w:lineRule="atLeast"/>
              <w:ind w:firstLine="0" w:firstLineChars="0"/>
              <w:jc w:val="center"/>
              <w:rPr>
                <w:rFonts w:hint="eastAsia" w:ascii="方正仿宋_GBK" w:hAnsi="宋体" w:eastAsia="方正仿宋_GBK" w:cs="宋体"/>
                <w:b/>
                <w:color w:val="000000" w:themeColor="text1"/>
                <w:sz w:val="21"/>
                <w:szCs w:val="21"/>
                <w14:textFill>
                  <w14:solidFill>
                    <w14:schemeClr w14:val="tx1"/>
                  </w14:solidFill>
                </w14:textFill>
              </w:rPr>
            </w:pPr>
            <w:r>
              <w:rPr>
                <w:rFonts w:hint="eastAsia" w:ascii="方正仿宋_GBK" w:hAnsi="宋体" w:eastAsia="方正仿宋_GBK" w:cs="宋体"/>
                <w:b/>
                <w:color w:val="000000" w:themeColor="text1"/>
                <w:sz w:val="21"/>
                <w:szCs w:val="21"/>
                <w14:textFill>
                  <w14:solidFill>
                    <w14:schemeClr w14:val="tx1"/>
                  </w14:solidFill>
                </w14:textFill>
              </w:rPr>
              <w:t>竞价应答</w:t>
            </w:r>
          </w:p>
        </w:tc>
        <w:tc>
          <w:tcPr>
            <w:tcW w:w="1391" w:type="dxa"/>
            <w:vAlign w:val="center"/>
          </w:tcPr>
          <w:p w14:paraId="0658E033">
            <w:pPr>
              <w:spacing w:line="240" w:lineRule="atLeast"/>
              <w:ind w:firstLine="0" w:firstLineChars="0"/>
              <w:jc w:val="center"/>
              <w:rPr>
                <w:rFonts w:hint="eastAsia" w:ascii="方正仿宋_GBK" w:hAnsi="宋体" w:eastAsia="方正仿宋_GBK" w:cs="宋体"/>
                <w:b/>
                <w:color w:val="000000" w:themeColor="text1"/>
                <w:sz w:val="21"/>
                <w:szCs w:val="21"/>
                <w14:textFill>
                  <w14:solidFill>
                    <w14:schemeClr w14:val="tx1"/>
                  </w14:solidFill>
                </w14:textFill>
              </w:rPr>
            </w:pPr>
            <w:r>
              <w:rPr>
                <w:rFonts w:hint="eastAsia" w:ascii="方正仿宋_GBK" w:hAnsi="宋体" w:eastAsia="方正仿宋_GBK" w:cs="宋体"/>
                <w:b/>
                <w:color w:val="000000" w:themeColor="text1"/>
                <w:sz w:val="21"/>
                <w:szCs w:val="21"/>
                <w14:textFill>
                  <w14:solidFill>
                    <w14:schemeClr w14:val="tx1"/>
                  </w14:solidFill>
                </w14:textFill>
              </w:rPr>
              <w:t>差异说明</w:t>
            </w:r>
          </w:p>
        </w:tc>
      </w:tr>
      <w:tr w14:paraId="0680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313E1DCD">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370A153E">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18DDC836">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0F568D8C">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r w14:paraId="0BDC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19ADA620">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35CAD2A5">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40FFE68C">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343C6433">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r w14:paraId="5E88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2E29783B">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07F64528">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0DC7BB38">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426602D9">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r w14:paraId="7522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2713058E">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1FC8D2F5">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7651C795">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3A62A361">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r w14:paraId="42DF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492D9D94">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76031519">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6F4D5438">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04A4D72B">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r w14:paraId="3B33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14:paraId="07A56809">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6" w:type="dxa"/>
            <w:vAlign w:val="center"/>
          </w:tcPr>
          <w:p w14:paraId="6F94E12E">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3407" w:type="dxa"/>
            <w:vAlign w:val="center"/>
          </w:tcPr>
          <w:p w14:paraId="3D8F9F97">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c>
          <w:tcPr>
            <w:tcW w:w="1391" w:type="dxa"/>
            <w:vAlign w:val="center"/>
          </w:tcPr>
          <w:p w14:paraId="49EA43B0">
            <w:pPr>
              <w:spacing w:line="240" w:lineRule="auto"/>
              <w:ind w:firstLine="0" w:firstLineChars="0"/>
              <w:jc w:val="center"/>
              <w:rPr>
                <w:rFonts w:hint="eastAsia" w:ascii="方正仿宋_GBK" w:hAnsi="宋体" w:eastAsia="方正仿宋_GBK" w:cs="宋体"/>
                <w:color w:val="000000" w:themeColor="text1"/>
                <w:sz w:val="21"/>
                <w:szCs w:val="21"/>
                <w14:textFill>
                  <w14:solidFill>
                    <w14:schemeClr w14:val="tx1"/>
                  </w14:solidFill>
                </w14:textFill>
              </w:rPr>
            </w:pPr>
          </w:p>
        </w:tc>
      </w:tr>
    </w:tbl>
    <w:p w14:paraId="461A7EE2">
      <w:pPr>
        <w:ind w:firstLine="0" w:firstLineChars="0"/>
        <w:jc w:val="left"/>
        <w:rPr>
          <w:rFonts w:hint="eastAsia" w:ascii="方正仿宋_GBK" w:hAnsi="宋体" w:eastAsia="方正仿宋_GBK" w:cs="宋体"/>
          <w:color w:val="000000" w:themeColor="text1"/>
          <w:szCs w:val="22"/>
          <w14:textFill>
            <w14:solidFill>
              <w14:schemeClr w14:val="tx1"/>
            </w14:solidFill>
          </w14:textFill>
        </w:rPr>
      </w:pPr>
    </w:p>
    <w:p w14:paraId="0182904D">
      <w:pPr>
        <w:ind w:firstLine="0" w:firstLineChars="0"/>
        <w:jc w:val="left"/>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竞价人：                      法定代表人（或法定代表人授权代表）：</w:t>
      </w:r>
    </w:p>
    <w:p w14:paraId="08E6988B">
      <w:pPr>
        <w:ind w:firstLine="0" w:firstLineChars="0"/>
        <w:jc w:val="left"/>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（竞价人公章）                                     （签署或盖章）</w:t>
      </w:r>
    </w:p>
    <w:p w14:paraId="1176B350">
      <w:pPr>
        <w:ind w:firstLine="6240" w:firstLineChars="2600"/>
        <w:jc w:val="left"/>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 xml:space="preserve"> 年   月   日 </w:t>
      </w:r>
    </w:p>
    <w:p w14:paraId="11C9C67D">
      <w:pPr>
        <w:ind w:firstLine="480"/>
        <w:rPr>
          <w:rFonts w:hint="eastAsia" w:ascii="方正仿宋_GBK" w:hAnsi="宋体" w:eastAsia="方正仿宋_GBK" w:cs="宋体"/>
          <w:color w:val="000000" w:themeColor="text1"/>
          <w:szCs w:val="22"/>
          <w14:textFill>
            <w14:solidFill>
              <w14:schemeClr w14:val="tx1"/>
            </w14:solidFill>
          </w14:textFill>
        </w:rPr>
      </w:pPr>
    </w:p>
    <w:p w14:paraId="04D07102">
      <w:pPr>
        <w:ind w:firstLine="480"/>
        <w:rPr>
          <w:rFonts w:hint="eastAsia" w:ascii="方正仿宋_GBK" w:hAnsi="宋体" w:eastAsia="方正仿宋_GBK" w:cs="宋体"/>
          <w:color w:val="000000" w:themeColor="text1"/>
          <w:szCs w:val="22"/>
          <w14:textFill>
            <w14:solidFill>
              <w14:schemeClr w14:val="tx1"/>
            </w14:solidFill>
          </w14:textFill>
        </w:rPr>
      </w:pPr>
      <w:r>
        <w:rPr>
          <w:rFonts w:ascii="方正仿宋_GBK" w:hAnsi="宋体" w:eastAsia="方正仿宋_GBK" w:cs="宋体"/>
          <w:color w:val="000000" w:themeColor="text1"/>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86995</wp:posOffset>
                </wp:positionV>
                <wp:extent cx="5113020" cy="0"/>
                <wp:effectExtent l="0" t="4445" r="0" b="5080"/>
                <wp:wrapNone/>
                <wp:docPr id="1865240163" name="AutoShape 10"/>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a:effectLst/>
                      </wps:spPr>
                      <wps:bodyPr/>
                    </wps:wsp>
                  </a:graphicData>
                </a:graphic>
              </wp:anchor>
            </w:drawing>
          </mc:Choice>
          <mc:Fallback>
            <w:pict>
              <v:shape id="AutoShape 10" o:spid="_x0000_s1026" o:spt="32" type="#_x0000_t32" style="position:absolute;left:0pt;margin-left:17.6pt;margin-top:6.85pt;height:0pt;width:402.6pt;z-index:251660288;mso-width-relative:page;mso-height-relative:page;" filled="f" stroked="t" coordsize="21600,21600" o:gfxdata="UEsDBAoAAAAAAIdO4kAAAAAAAAAAAAAAAAAEAAAAZHJzL1BLAwQUAAAACACHTuJAyrBuQ9YAAAAI&#10;AQAADwAAAGRycy9kb3ducmV2LnhtbE2PzU7DMBCE70i8g7VI3KjdtEAV4vRQQOJUQUEgbtvYxBHx&#10;OoqdH96eRRzguDOj2W+K7exbMdo+NoE0LBcKhKUqmIZqDS/P9xcbEDEhGWwDWQ1fNsK2PD0pMDdh&#10;oic7HlItuIRijhpcSl0uZayc9RgXobPE3kfoPSY++1qaHicu963MlLqSHhviDw47u3O2+jwMXoPH&#10;hzBkbjfuX+fbRzO9U7W/e9P6/GypbkAkO6e/MPzgMzqUzHQMA5koWg2ry4yTrK+uQbC/Was1iOOv&#10;IMtC/h9QfgNQSwMEFAAAAAgAh07iQJBHCSrjAQAAygMAAA4AAABkcnMvZTJvRG9jLnhtbK1TTW/b&#10;MAy9D9h/EHRfbCdLUBhxiiFBd+m2AO1+gCLLtlBJFEQlTv79KOVjXXfpoT4Ilkm+Rz4+L++P1rCD&#10;CqjBNbyalJwpJ6HVrm/47+eHL3ecYRSuFQacavhJIb9fff60HH2tpjCAaVVgBOKwHn3Dhxh9XRQo&#10;B2UFTsArR8EOghWRrqEv2iBGQremmJblohghtD6AVIj0dXMO8gtieA8gdJ2WagNyb5WLZ9SgjIg0&#10;Eg7aI1/lbrtOyfir61BFZhpOk8Z8Egm979JZrJai7oPwg5aXFsR7WngzkxXaEekNaiOiYPug/4Oy&#10;WgZA6OJEgi3Og2RFaIqqfKPN0yC8yrOQ1OhvouPHwcqfh21guiUn3C3m069ltZhx5oSlzX/bR8gt&#10;sCoLNXqsKX/ttiGNKo/uyT+CfEHmYD0I16uc/XzyVFwlaYt/StIFPdHtxh/QUo4ggqzasQs2QZIe&#10;7JiXc7otRx0jk/RxXlWzckp7k9dYIeproQ8YvyuwLL00HGMQuh/iGpwjC0CoMo04PGJMbYn6WpBY&#10;HTxoY7ITjGNjwxezeZkLEIxuUzClYeh3axPYQSQv5SfPSJHXaQH2rj2TGJfqVLbhhfmqQTIo1jto&#10;T9twFYpWnHu72DF56PU9y/n3F1z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qwbkPWAAAACAEA&#10;AA8AAAAAAAAAAQAgAAAAIgAAAGRycy9kb3ducmV2LnhtbFBLAQIUABQAAAAIAIdO4kCQRwkq4wEA&#10;AMoDAAAOAAAAAAAAAAEAIAAAACUBAABkcnMvZTJvRG9jLnhtbFBLBQYAAAAABgAGAFkBAAB6BQAA&#10;AAA=&#10;">
                <v:fill on="f" focussize="0,0"/>
                <v:stroke weight="0.5pt" color="#000000" joinstyle="round"/>
                <v:imagedata o:title=""/>
                <o:lock v:ext="edit" aspectratio="f"/>
              </v:shape>
            </w:pict>
          </mc:Fallback>
        </mc:AlternateContent>
      </w:r>
      <w:r>
        <w:rPr>
          <w:rFonts w:hint="eastAsia" w:ascii="方正仿宋_GBK" w:hAnsi="宋体" w:eastAsia="方正仿宋_GBK" w:cs="宋体"/>
          <w:color w:val="000000" w:themeColor="text1"/>
          <w:szCs w:val="22"/>
          <w14:textFill>
            <w14:solidFill>
              <w14:schemeClr w14:val="tx1"/>
            </w14:solidFill>
          </w14:textFill>
        </w:rPr>
        <w:t>注：</w:t>
      </w:r>
    </w:p>
    <w:p w14:paraId="4B8C0F6A">
      <w:pPr>
        <w:tabs>
          <w:tab w:val="left" w:pos="6300"/>
        </w:tabs>
        <w:snapToGrid w:val="0"/>
        <w:spacing w:line="500" w:lineRule="exact"/>
        <w:ind w:firstLine="480"/>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1.本表即为对本项目“第二篇 项目技术服务要求”中所列技术要求进行比较和响应；</w:t>
      </w:r>
    </w:p>
    <w:p w14:paraId="573821BF">
      <w:pPr>
        <w:tabs>
          <w:tab w:val="left" w:pos="6300"/>
        </w:tabs>
        <w:snapToGrid w:val="0"/>
        <w:spacing w:line="500" w:lineRule="exact"/>
        <w:ind w:firstLine="480"/>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2.该表必须按照竞价文件要求逐条如实填写，根据竞价情况在“差异说明”项填写正偏离或负偏离及原因，完全符合的填写“无差异”；</w:t>
      </w:r>
    </w:p>
    <w:p w14:paraId="1F738271">
      <w:pPr>
        <w:tabs>
          <w:tab w:val="left" w:pos="6300"/>
        </w:tabs>
        <w:snapToGrid w:val="0"/>
        <w:spacing w:line="500" w:lineRule="exact"/>
        <w:ind w:firstLine="480"/>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3.该表可扩展；</w:t>
      </w:r>
    </w:p>
    <w:p w14:paraId="2D5FEBAA">
      <w:pPr>
        <w:tabs>
          <w:tab w:val="left" w:pos="6300"/>
        </w:tabs>
        <w:snapToGrid w:val="0"/>
        <w:spacing w:line="500" w:lineRule="exact"/>
        <w:ind w:firstLine="480"/>
        <w:rPr>
          <w:rFonts w:hint="eastAsia"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4.可附相关技术支撑材料。（格式自定）</w:t>
      </w:r>
    </w:p>
    <w:p w14:paraId="53E09E97">
      <w:pPr>
        <w:ind w:firstLine="480"/>
        <w:rPr>
          <w:rFonts w:hint="eastAsia" w:ascii="方正仿宋_GBK" w:hAnsi="宋体" w:eastAsia="方正仿宋_GBK" w:cs="宋体"/>
          <w:color w:val="000000" w:themeColor="text1"/>
          <w:szCs w:val="22"/>
          <w14:textFill>
            <w14:solidFill>
              <w14:schemeClr w14:val="tx1"/>
            </w14:solidFill>
          </w14:textFill>
        </w:rPr>
      </w:pPr>
    </w:p>
    <w:p w14:paraId="6B30EBC8">
      <w:pPr>
        <w:ind w:left="424" w:firstLine="0" w:firstLineChars="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br w:type="page"/>
      </w:r>
      <w:r>
        <w:rPr>
          <w:rFonts w:hint="eastAsia" w:ascii="方正仿宋_GBK" w:hAnsi="宋体" w:eastAsia="方正仿宋_GBK" w:cs="宋体"/>
          <w:color w:val="000000" w:themeColor="text1"/>
          <w:szCs w:val="22"/>
          <w14:textFill>
            <w14:solidFill>
              <w14:schemeClr w14:val="tx1"/>
            </w14:solidFill>
          </w14:textFill>
        </w:rPr>
        <w:t>（二）服务方案</w:t>
      </w:r>
    </w:p>
    <w:p w14:paraId="4ED24B32">
      <w:pPr>
        <w:ind w:left="424" w:firstLine="0" w:firstLineChars="0"/>
        <w:rPr>
          <w:rFonts w:hint="eastAsia" w:ascii="方正仿宋_GBK" w:hAnsi="宋体" w:eastAsia="方正仿宋_GBK" w:cs="宋体"/>
          <w:color w:val="000000" w:themeColor="text1"/>
          <w:szCs w:val="22"/>
          <w14:textFill>
            <w14:solidFill>
              <w14:schemeClr w14:val="tx1"/>
            </w14:solidFill>
          </w14:textFill>
        </w:rPr>
      </w:pPr>
    </w:p>
    <w:p w14:paraId="749B9A99">
      <w:pPr>
        <w:ind w:firstLine="480"/>
        <w:rPr>
          <w:rFonts w:hint="eastAsia" w:ascii="方正仿宋_GBK" w:hAnsi="宋体" w:eastAsia="方正仿宋_GBK" w:cs="宋体"/>
          <w:color w:val="000000" w:themeColor="text1"/>
          <w:szCs w:val="22"/>
          <w14:textFill>
            <w14:solidFill>
              <w14:schemeClr w14:val="tx1"/>
            </w14:solidFill>
          </w14:textFill>
        </w:rPr>
      </w:pPr>
    </w:p>
    <w:p w14:paraId="1086CCD5">
      <w:pPr>
        <w:ind w:firstLine="480"/>
        <w:rPr>
          <w:rFonts w:hint="eastAsia" w:ascii="方正仿宋_GBK" w:hAnsi="宋体" w:eastAsia="方正仿宋_GBK" w:cs="宋体"/>
          <w:color w:val="000000" w:themeColor="text1"/>
          <w:szCs w:val="22"/>
          <w14:textFill>
            <w14:solidFill>
              <w14:schemeClr w14:val="tx1"/>
            </w14:solidFill>
          </w14:textFill>
        </w:rPr>
      </w:pPr>
    </w:p>
    <w:p w14:paraId="1E6CB490">
      <w:pPr>
        <w:ind w:firstLine="480"/>
        <w:rPr>
          <w:rFonts w:hint="eastAsia" w:ascii="方正仿宋_GBK" w:hAnsi="宋体" w:eastAsia="方正仿宋_GBK" w:cs="宋体"/>
          <w:color w:val="000000" w:themeColor="text1"/>
          <w:szCs w:val="22"/>
          <w14:textFill>
            <w14:solidFill>
              <w14:schemeClr w14:val="tx1"/>
            </w14:solidFill>
          </w14:textFill>
        </w:rPr>
      </w:pPr>
    </w:p>
    <w:p w14:paraId="4B57C018">
      <w:pPr>
        <w:ind w:firstLine="480"/>
        <w:rPr>
          <w:rFonts w:hint="eastAsia" w:ascii="方正仿宋_GBK" w:hAnsi="宋体" w:eastAsia="方正仿宋_GBK" w:cs="宋体"/>
          <w:color w:val="000000" w:themeColor="text1"/>
          <w:szCs w:val="22"/>
          <w14:textFill>
            <w14:solidFill>
              <w14:schemeClr w14:val="tx1"/>
            </w14:solidFill>
          </w14:textFill>
        </w:rPr>
      </w:pPr>
    </w:p>
    <w:p w14:paraId="00713303">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（三）第二篇服务要求中要求提供的相关资料（如有，格式自拟）</w:t>
      </w:r>
    </w:p>
    <w:p w14:paraId="11BEA8D9">
      <w:pPr>
        <w:ind w:firstLine="480"/>
        <w:rPr>
          <w:rFonts w:hint="eastAsia" w:ascii="方正仿宋_GBK" w:hAnsi="宋体" w:eastAsia="方正仿宋_GBK" w:cs="宋体"/>
          <w:color w:val="000000" w:themeColor="text1"/>
          <w:szCs w:val="22"/>
          <w14:textFill>
            <w14:solidFill>
              <w14:schemeClr w14:val="tx1"/>
            </w14:solidFill>
          </w14:textFill>
        </w:rPr>
      </w:pPr>
    </w:p>
    <w:p w14:paraId="5A604D7F">
      <w:pPr>
        <w:ind w:firstLine="480"/>
        <w:rPr>
          <w:rFonts w:hint="eastAsia" w:ascii="方正仿宋_GBK" w:hAnsi="宋体" w:eastAsia="方正仿宋_GBK" w:cs="宋体"/>
          <w:color w:val="000000" w:themeColor="text1"/>
          <w:szCs w:val="22"/>
          <w14:textFill>
            <w14:solidFill>
              <w14:schemeClr w14:val="tx1"/>
            </w14:solidFill>
          </w14:textFill>
        </w:rPr>
      </w:pPr>
    </w:p>
    <w:p w14:paraId="3B89DD1D">
      <w:pPr>
        <w:ind w:firstLine="480"/>
        <w:rPr>
          <w:rFonts w:hint="eastAsia" w:ascii="方正仿宋_GBK" w:hAnsi="宋体" w:eastAsia="方正仿宋_GBK" w:cs="宋体"/>
          <w:color w:val="000000" w:themeColor="text1"/>
          <w:szCs w:val="22"/>
          <w14:textFill>
            <w14:solidFill>
              <w14:schemeClr w14:val="tx1"/>
            </w14:solidFill>
          </w14:textFill>
        </w:rPr>
      </w:pPr>
    </w:p>
    <w:p w14:paraId="32F466C5">
      <w:pPr>
        <w:ind w:firstLine="480"/>
        <w:rPr>
          <w:rFonts w:hint="eastAsia" w:ascii="方正仿宋_GBK" w:hAnsi="宋体" w:eastAsia="方正仿宋_GBK" w:cs="宋体"/>
          <w:color w:val="000000" w:themeColor="text1"/>
          <w:szCs w:val="22"/>
          <w14:textFill>
            <w14:solidFill>
              <w14:schemeClr w14:val="tx1"/>
            </w14:solidFill>
          </w14:textFill>
        </w:rPr>
      </w:pPr>
    </w:p>
    <w:p w14:paraId="6517671C">
      <w:pPr>
        <w:ind w:firstLine="480"/>
        <w:rPr>
          <w:rFonts w:hint="eastAsia" w:ascii="方正仿宋_GBK" w:hAnsi="宋体" w:eastAsia="方正仿宋_GBK" w:cs="宋体"/>
          <w:color w:val="000000" w:themeColor="text1"/>
          <w:szCs w:val="22"/>
          <w14:textFill>
            <w14:solidFill>
              <w14:schemeClr w14:val="tx1"/>
            </w14:solidFill>
          </w14:textFill>
        </w:rPr>
      </w:pPr>
    </w:p>
    <w:p w14:paraId="4DDB8B51">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（四）其他服务资料（如果有）</w:t>
      </w:r>
    </w:p>
    <w:p w14:paraId="7A7C7CB6">
      <w:pPr>
        <w:ind w:firstLine="480"/>
        <w:rPr>
          <w:rFonts w:hint="eastAsia" w:ascii="方正仿宋_GBK" w:hAnsi="宋体" w:eastAsia="方正仿宋_GBK" w:cs="宋体"/>
          <w:color w:val="000000" w:themeColor="text1"/>
          <w:szCs w:val="22"/>
          <w14:textFill>
            <w14:solidFill>
              <w14:schemeClr w14:val="tx1"/>
            </w14:solidFill>
          </w14:textFill>
        </w:rPr>
      </w:pPr>
    </w:p>
    <w:p w14:paraId="14C94D9A">
      <w:pPr>
        <w:pStyle w:val="3"/>
        <w:spacing w:before="120" w:after="120"/>
        <w:ind w:firstLine="560"/>
        <w:rPr>
          <w:rStyle w:val="46"/>
          <w:rFonts w:hint="eastAsia" w:ascii="方正仿宋_GBK" w:hAnsi="宋体" w:eastAsia="方正仿宋_GBK" w:cs="宋体"/>
          <w:b w:val="0"/>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bookmarkStart w:id="784" w:name="_Toc7376"/>
      <w:bookmarkStart w:id="785" w:name="_Toc7324"/>
      <w:bookmarkStart w:id="786" w:name="_Toc6765"/>
      <w:bookmarkStart w:id="787" w:name="_Toc7246"/>
      <w:bookmarkStart w:id="788" w:name="_Toc581"/>
      <w:bookmarkStart w:id="789" w:name="_Toc32190"/>
      <w:bookmarkStart w:id="790" w:name="_Toc26576"/>
      <w:bookmarkStart w:id="791" w:name="_Toc32360"/>
      <w:bookmarkStart w:id="792" w:name="_Toc17893"/>
      <w:bookmarkStart w:id="793" w:name="_Toc8237"/>
      <w:bookmarkStart w:id="794" w:name="_Toc30637"/>
      <w:bookmarkStart w:id="795" w:name="_Toc28244"/>
      <w:bookmarkStart w:id="796" w:name="_Toc63600446"/>
      <w:bookmarkStart w:id="797" w:name="_Toc31082"/>
      <w:r>
        <w:rPr>
          <w:rFonts w:hint="eastAsia" w:ascii="方正仿宋_GBK" w:hAnsi="宋体" w:eastAsia="方正仿宋_GBK" w:cs="宋体"/>
          <w:color w:val="000000" w:themeColor="text1"/>
          <w14:textFill>
            <w14:solidFill>
              <w14:schemeClr w14:val="tx1"/>
            </w14:solidFill>
          </w14:textFill>
        </w:rPr>
        <w:t>三、商务文件</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09B2CD9D">
      <w:pPr>
        <w:spacing w:before="240" w:beforeLines="100" w:after="240" w:afterLines="100"/>
        <w:ind w:firstLine="0" w:firstLineChars="0"/>
        <w:jc w:val="center"/>
        <w:rPr>
          <w:rFonts w:hint="eastAsia" w:ascii="方正仿宋_GBK" w:hAnsi="宋体" w:eastAsia="方正仿宋_GBK" w:cs="宋体"/>
          <w:b/>
          <w:color w:val="000000" w:themeColor="text1"/>
          <w:sz w:val="28"/>
          <w:szCs w:val="21"/>
          <w14:textFill>
            <w14:solidFill>
              <w14:schemeClr w14:val="tx1"/>
            </w14:solidFill>
          </w14:textFill>
        </w:rPr>
      </w:pPr>
      <w:r>
        <w:rPr>
          <w:rFonts w:hint="eastAsia" w:ascii="方正仿宋_GBK" w:hAnsi="宋体" w:eastAsia="方正仿宋_GBK" w:cs="宋体"/>
          <w:b/>
          <w:color w:val="000000" w:themeColor="text1"/>
          <w:sz w:val="28"/>
          <w:szCs w:val="21"/>
          <w14:textFill>
            <w14:solidFill>
              <w14:schemeClr w14:val="tx1"/>
            </w14:solidFill>
          </w14:textFill>
        </w:rPr>
        <w:t>（一）竞价函（格式）</w:t>
      </w:r>
    </w:p>
    <w:p w14:paraId="2B86AA25">
      <w:pPr>
        <w:ind w:firstLine="480"/>
        <w:rPr>
          <w:rFonts w:hint="eastAsia" w:ascii="方正仿宋_GBK" w:hAnsi="宋体" w:eastAsia="方正仿宋_GBK" w:cs="宋体"/>
          <w:color w:val="000000" w:themeColor="text1"/>
          <w:u w:val="single"/>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项目名称：</w:t>
      </w:r>
    </w:p>
    <w:p w14:paraId="683A2A6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致：（比价人名称）</w:t>
      </w:r>
    </w:p>
    <w:p w14:paraId="1A7A8166">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（竞价人名称）系中华人民共和国合法企业，注册地址：。我方就参加本次竞价有关事项郑重声明如下：</w:t>
      </w:r>
    </w:p>
    <w:p w14:paraId="68C2EBD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一、我方完全理解并接受该项目竞价文件所有要求。</w:t>
      </w:r>
    </w:p>
    <w:p w14:paraId="18DD6886">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二、我方提交的所有竞价文件、资料都是准确和真实的，如有虚假或隐瞒，我方愿意承担一切法律责任。</w:t>
      </w:r>
    </w:p>
    <w:p w14:paraId="00FFADF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三、我方承诺按照竞价文件要求，提供招标项目的技术服务。</w:t>
      </w:r>
    </w:p>
    <w:p w14:paraId="6BC22CB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四、我方按竞价文件要求提交的竞价文件为：竞价文件正本</w:t>
      </w:r>
      <w:r>
        <w:rPr>
          <w:rFonts w:hint="eastAsia" w:ascii="方正仿宋_GBK" w:hAnsi="宋体" w:eastAsia="方正仿宋_GBK" w:cs="宋体"/>
          <w:color w:val="000000" w:themeColor="text1"/>
          <w:u w:val="single"/>
          <w14:textFill>
            <w14:solidFill>
              <w14:schemeClr w14:val="tx1"/>
            </w14:solidFill>
          </w14:textFill>
        </w:rPr>
        <w:t>1</w:t>
      </w:r>
      <w:r>
        <w:rPr>
          <w:rFonts w:hint="eastAsia" w:ascii="方正仿宋_GBK" w:hAnsi="宋体" w:eastAsia="方正仿宋_GBK" w:cs="宋体"/>
          <w:color w:val="000000" w:themeColor="text1"/>
          <w14:textFill>
            <w14:solidFill>
              <w14:schemeClr w14:val="tx1"/>
            </w14:solidFill>
          </w14:textFill>
        </w:rPr>
        <w:t>份，副本份，电子文档份</w:t>
      </w:r>
      <w:r>
        <w:rPr>
          <w:rFonts w:hint="eastAsia" w:ascii="方正仿宋_GBK" w:hAnsi="宋体" w:eastAsia="方正仿宋_GBK" w:cs="宋体"/>
          <w:color w:val="000000" w:themeColor="text1"/>
          <w:szCs w:val="28"/>
          <w14:textFill>
            <w14:solidFill>
              <w14:schemeClr w14:val="tx1"/>
            </w14:solidFill>
          </w14:textFill>
        </w:rPr>
        <w:t>。</w:t>
      </w:r>
    </w:p>
    <w:p w14:paraId="133AE4C5">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五、我方承诺：本次竞价的竞价有效期为</w:t>
      </w:r>
      <w:r>
        <w:rPr>
          <w:rFonts w:hint="eastAsia" w:ascii="方正仿宋_GBK" w:hAnsi="宋体" w:eastAsia="方正仿宋_GBK" w:cs="宋体"/>
          <w:color w:val="000000" w:themeColor="text1"/>
          <w:u w:val="single"/>
          <w14:textFill>
            <w14:solidFill>
              <w14:schemeClr w14:val="tx1"/>
            </w14:solidFill>
          </w14:textFill>
        </w:rPr>
        <w:t>90</w:t>
      </w:r>
      <w:r>
        <w:rPr>
          <w:rFonts w:hint="eastAsia" w:ascii="方正仿宋_GBK" w:hAnsi="宋体" w:eastAsia="方正仿宋_GBK" w:cs="宋体"/>
          <w:color w:val="000000" w:themeColor="text1"/>
          <w14:textFill>
            <w14:solidFill>
              <w14:schemeClr w14:val="tx1"/>
            </w14:solidFill>
          </w14:textFill>
        </w:rPr>
        <w:t>天。</w:t>
      </w:r>
    </w:p>
    <w:p w14:paraId="556708B2">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六、如果我方中标，我方将履行竞价文件中规定的各项要求以及我方竞价文件的各项承诺，按《中华人民共和国政府采购法》、《中华人民共和国民法典》及合同约定条款承担我方责任。</w:t>
      </w:r>
    </w:p>
    <w:p w14:paraId="6CC5782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七、我方未为采购项目提供整体设计、规范编制或者监理、检测等服务。</w:t>
      </w:r>
    </w:p>
    <w:p w14:paraId="6E9FEBD9">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八、我方理解，最低报价不是中标的唯一条件。</w:t>
      </w:r>
    </w:p>
    <w:p w14:paraId="0827E922">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九、我方同意按有关规定及竞价文件要求，缴纳足额履约保证金和招标代理费。</w:t>
      </w:r>
    </w:p>
    <w:p w14:paraId="7E277638">
      <w:pPr>
        <w:ind w:firstLine="480"/>
        <w:rPr>
          <w:rFonts w:hint="eastAsia" w:ascii="方正仿宋_GBK" w:hAnsi="宋体" w:eastAsia="方正仿宋_GBK" w:cs="宋体"/>
          <w:color w:val="000000" w:themeColor="text1"/>
          <w14:textFill>
            <w14:solidFill>
              <w14:schemeClr w14:val="tx1"/>
            </w14:solidFill>
          </w14:textFill>
        </w:rPr>
      </w:pPr>
    </w:p>
    <w:p w14:paraId="4AEF3D60">
      <w:pPr>
        <w:ind w:right="480" w:firstLine="0" w:firstLineChars="0"/>
        <w:jc w:val="center"/>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                                                          （竞价人公章）</w:t>
      </w:r>
    </w:p>
    <w:p w14:paraId="57126F9A">
      <w:pPr>
        <w:wordWrap w:val="0"/>
        <w:ind w:firstLine="48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年   月   日       </w:t>
      </w:r>
    </w:p>
    <w:p w14:paraId="79505E14">
      <w:pPr>
        <w:ind w:firstLine="480"/>
        <w:rPr>
          <w:rFonts w:hint="eastAsia" w:ascii="方正仿宋_GBK" w:hAnsi="宋体" w:eastAsia="方正仿宋_GBK" w:cs="宋体"/>
          <w:b/>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b/>
          <w:color w:val="000000" w:themeColor="text1"/>
          <w14:textFill>
            <w14:solidFill>
              <w14:schemeClr w14:val="tx1"/>
            </w14:solidFill>
          </w14:textFill>
        </w:rPr>
        <w:t>（二）商务条款差异表</w:t>
      </w:r>
    </w:p>
    <w:p w14:paraId="1B361E21">
      <w:pPr>
        <w:spacing w:line="480" w:lineRule="auto"/>
        <w:ind w:firstLine="560"/>
        <w:jc w:val="center"/>
        <w:rPr>
          <w:rFonts w:ascii="Times New Roman" w:hAnsi="Times New Roman" w:cs="Times New Roman"/>
          <w:b/>
          <w:color w:val="000000" w:themeColor="text1"/>
          <w:kern w:val="44"/>
          <w:sz w:val="36"/>
          <w:szCs w:val="32"/>
          <w14:textFill>
            <w14:solidFill>
              <w14:schemeClr w14:val="tx1"/>
            </w14:solidFill>
          </w14:textFill>
        </w:rPr>
      </w:pPr>
      <w:r>
        <w:rPr>
          <w:rFonts w:ascii="Times New Roman" w:hAnsi="Times New Roman" w:eastAsia="方正仿宋_GBK" w:cs="Times New Roman"/>
          <w:b/>
          <w:color w:val="000000" w:themeColor="text1"/>
          <w:kern w:val="44"/>
          <w:sz w:val="28"/>
          <w:szCs w:val="28"/>
          <w14:textFill>
            <w14:solidFill>
              <w14:schemeClr w14:val="tx1"/>
            </w14:solidFill>
          </w14:textFill>
        </w:rPr>
        <w:t>商务需求应答承诺书</w:t>
      </w:r>
    </w:p>
    <w:p w14:paraId="062E8B05">
      <w:pPr>
        <w:tabs>
          <w:tab w:val="left" w:pos="6300"/>
        </w:tabs>
        <w:snapToGrid w:val="0"/>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hint="eastAsia" w:ascii="Times New Roman" w:hAnsi="Times New Roman" w:eastAsia="方正仿宋_GBK" w:cs="Times New Roman"/>
          <w:color w:val="000000" w:themeColor="text1"/>
          <w:szCs w:val="28"/>
          <w14:textFill>
            <w14:solidFill>
              <w14:schemeClr w14:val="tx1"/>
            </w14:solidFill>
          </w14:textFill>
        </w:rPr>
        <w:t>比价人</w:t>
      </w:r>
      <w:r>
        <w:rPr>
          <w:rFonts w:ascii="Times New Roman" w:hAnsi="Times New Roman" w:eastAsia="方正仿宋_GBK" w:cs="Times New Roman"/>
          <w:color w:val="000000" w:themeColor="text1"/>
          <w:szCs w:val="28"/>
          <w14:textFill>
            <w14:solidFill>
              <w14:schemeClr w14:val="tx1"/>
            </w14:solidFill>
          </w14:textFill>
        </w:rPr>
        <w:t>：</w:t>
      </w:r>
    </w:p>
    <w:p w14:paraId="4297E6AE">
      <w:pPr>
        <w:tabs>
          <w:tab w:val="left" w:pos="6300"/>
        </w:tabs>
        <w:snapToGrid w:val="0"/>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根据你方制发的</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，我方针对</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第三篇“项目商务需求”的内容作出应答承诺如下：</w:t>
      </w:r>
    </w:p>
    <w:p w14:paraId="58796CF6">
      <w:pPr>
        <w:spacing w:line="500" w:lineRule="exact"/>
        <w:ind w:firstLine="480"/>
        <w:rPr>
          <w:rFonts w:ascii="Times New Roman" w:hAnsi="Times New Roman" w:eastAsia="方正仿宋_GBK" w:cs="Times New Roman"/>
          <w:b/>
          <w:bCs/>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 xml:space="preserve">     1.我方完全同意此</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提出的各项商务条款，</w:t>
      </w:r>
      <w:r>
        <w:rPr>
          <w:rFonts w:ascii="Times New Roman" w:hAnsi="Times New Roman" w:eastAsia="方正仿宋_GBK" w:cs="Times New Roman"/>
          <w:b/>
          <w:bCs/>
          <w:color w:val="000000" w:themeColor="text1"/>
          <w:szCs w:val="28"/>
          <w14:textFill>
            <w14:solidFill>
              <w14:schemeClr w14:val="tx1"/>
            </w14:solidFill>
          </w14:textFill>
        </w:rPr>
        <w:t>若有不符，愿意被视为虚假</w:t>
      </w:r>
      <w:r>
        <w:rPr>
          <w:rFonts w:hint="eastAsia" w:ascii="Times New Roman" w:hAnsi="Times New Roman" w:eastAsia="方正仿宋_GBK" w:cs="Times New Roman"/>
          <w:b/>
          <w:bCs/>
          <w:color w:val="000000" w:themeColor="text1"/>
          <w:szCs w:val="28"/>
          <w14:textFill>
            <w14:solidFill>
              <w14:schemeClr w14:val="tx1"/>
            </w14:solidFill>
          </w14:textFill>
        </w:rPr>
        <w:t>竞价</w:t>
      </w:r>
      <w:r>
        <w:rPr>
          <w:rFonts w:ascii="Times New Roman" w:hAnsi="Times New Roman" w:eastAsia="方正仿宋_GBK" w:cs="Times New Roman"/>
          <w:b/>
          <w:bCs/>
          <w:color w:val="000000" w:themeColor="text1"/>
          <w:szCs w:val="28"/>
          <w14:textFill>
            <w14:solidFill>
              <w14:schemeClr w14:val="tx1"/>
            </w14:solidFill>
          </w14:textFill>
        </w:rPr>
        <w:t>，并作为无效</w:t>
      </w:r>
      <w:r>
        <w:rPr>
          <w:rFonts w:hint="eastAsia" w:ascii="Times New Roman" w:hAnsi="Times New Roman" w:eastAsia="方正仿宋_GBK" w:cs="Times New Roman"/>
          <w:b/>
          <w:bCs/>
          <w:color w:val="000000" w:themeColor="text1"/>
          <w:szCs w:val="28"/>
          <w14:textFill>
            <w14:solidFill>
              <w14:schemeClr w14:val="tx1"/>
            </w14:solidFill>
          </w14:textFill>
        </w:rPr>
        <w:t>竞价</w:t>
      </w:r>
      <w:r>
        <w:rPr>
          <w:rFonts w:ascii="Times New Roman" w:hAnsi="Times New Roman" w:eastAsia="方正仿宋_GBK" w:cs="Times New Roman"/>
          <w:b/>
          <w:bCs/>
          <w:color w:val="000000" w:themeColor="text1"/>
          <w:szCs w:val="28"/>
          <w14:textFill>
            <w14:solidFill>
              <w14:schemeClr w14:val="tx1"/>
            </w14:solidFill>
          </w14:textFill>
        </w:rPr>
        <w:t>处理，同时承担不予退还保证金、记入不良行为记录名单等相应处罚。</w:t>
      </w:r>
    </w:p>
    <w:p w14:paraId="45560BB5">
      <w:pPr>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2.我方承诺，若我方中标，在项目实施过程中，我方未遵守和执行</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第三篇“项目商务要求”和我方</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中承诺优于</w:t>
      </w:r>
      <w:r>
        <w:rPr>
          <w:rFonts w:hint="eastAsia" w:ascii="Times New Roman" w:hAnsi="Times New Roman" w:eastAsia="方正仿宋_GBK" w:cs="Times New Roman"/>
          <w:color w:val="000000" w:themeColor="text1"/>
          <w:szCs w:val="28"/>
          <w14:textFill>
            <w14:solidFill>
              <w14:schemeClr w14:val="tx1"/>
            </w14:solidFill>
          </w14:textFill>
        </w:rPr>
        <w:t>竞价文件</w:t>
      </w:r>
      <w:r>
        <w:rPr>
          <w:rFonts w:ascii="Times New Roman" w:hAnsi="Times New Roman" w:eastAsia="方正仿宋_GBK" w:cs="Times New Roman"/>
          <w:color w:val="000000" w:themeColor="text1"/>
          <w:szCs w:val="28"/>
          <w14:textFill>
            <w14:solidFill>
              <w14:schemeClr w14:val="tx1"/>
            </w14:solidFill>
          </w14:textFill>
        </w:rPr>
        <w:t>要求的商务条款时，我方自愿随时被</w:t>
      </w:r>
      <w:r>
        <w:rPr>
          <w:rFonts w:hint="eastAsia" w:ascii="Times New Roman" w:hAnsi="Times New Roman" w:eastAsia="方正仿宋_GBK" w:cs="Times New Roman"/>
          <w:color w:val="000000" w:themeColor="text1"/>
          <w:szCs w:val="28"/>
          <w14:textFill>
            <w14:solidFill>
              <w14:schemeClr w14:val="tx1"/>
            </w14:solidFill>
          </w14:textFill>
        </w:rPr>
        <w:t>比价人</w:t>
      </w:r>
      <w:r>
        <w:rPr>
          <w:rFonts w:ascii="Times New Roman" w:hAnsi="Times New Roman" w:eastAsia="方正仿宋_GBK" w:cs="Times New Roman"/>
          <w:color w:val="000000" w:themeColor="text1"/>
          <w:szCs w:val="28"/>
          <w14:textFill>
            <w14:solidFill>
              <w14:schemeClr w14:val="tx1"/>
            </w14:solidFill>
          </w14:textFill>
        </w:rPr>
        <w:t>终止并解除服务合同，由本公司自行承担一切相应的损失。</w:t>
      </w:r>
    </w:p>
    <w:p w14:paraId="110BFFA4">
      <w:pPr>
        <w:tabs>
          <w:tab w:val="left" w:pos="6300"/>
        </w:tabs>
        <w:snapToGrid w:val="0"/>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3.结合我方生产、经营活动以及此次招标项目实际情况，我方特做出以下更优惠高质的商务承诺（如果有）：</w:t>
      </w:r>
    </w:p>
    <w:p w14:paraId="145AE4BD">
      <w:pPr>
        <w:tabs>
          <w:tab w:val="left" w:pos="6300"/>
        </w:tabs>
        <w:snapToGrid w:val="0"/>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（1）……</w:t>
      </w:r>
    </w:p>
    <w:p w14:paraId="7E05D5F0">
      <w:pPr>
        <w:tabs>
          <w:tab w:val="left" w:pos="6300"/>
        </w:tabs>
        <w:snapToGrid w:val="0"/>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（2）……</w:t>
      </w:r>
    </w:p>
    <w:p w14:paraId="40ED49A1">
      <w:pPr>
        <w:pStyle w:val="8"/>
        <w:ind w:firstLine="560"/>
        <w:rPr>
          <w:rFonts w:ascii="Times New Roman" w:hAnsi="Times New Roman" w:eastAsia="方正仿宋_GBK" w:cs="Times New Roman"/>
          <w:color w:val="000000" w:themeColor="text1"/>
          <w:sz w:val="28"/>
          <w:szCs w:val="28"/>
          <w14:textFill>
            <w14:solidFill>
              <w14:schemeClr w14:val="tx1"/>
            </w14:solidFill>
          </w14:textFill>
        </w:rPr>
      </w:pPr>
    </w:p>
    <w:p w14:paraId="6A2E7FA0">
      <w:pPr>
        <w:pStyle w:val="8"/>
        <w:ind w:firstLine="560"/>
        <w:rPr>
          <w:rFonts w:ascii="Times New Roman" w:hAnsi="Times New Roman" w:eastAsia="方正仿宋_GBK" w:cs="Times New Roman"/>
          <w:color w:val="000000" w:themeColor="text1"/>
          <w:sz w:val="28"/>
          <w:szCs w:val="28"/>
          <w14:textFill>
            <w14:solidFill>
              <w14:schemeClr w14:val="tx1"/>
            </w14:solidFill>
          </w14:textFill>
        </w:rPr>
      </w:pPr>
    </w:p>
    <w:p w14:paraId="14E30AAC">
      <w:pPr>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hint="eastAsia" w:ascii="Times New Roman" w:hAnsi="Times New Roman" w:eastAsia="方正仿宋_GBK" w:cs="Times New Roman"/>
          <w:color w:val="000000" w:themeColor="text1"/>
          <w:szCs w:val="28"/>
          <w14:textFill>
            <w14:solidFill>
              <w14:schemeClr w14:val="tx1"/>
            </w14:solidFill>
          </w14:textFill>
        </w:rPr>
        <w:t>竞价人</w:t>
      </w:r>
      <w:r>
        <w:rPr>
          <w:rFonts w:ascii="Times New Roman" w:hAnsi="Times New Roman" w:eastAsia="方正仿宋_GBK" w:cs="Times New Roman"/>
          <w:color w:val="000000" w:themeColor="text1"/>
          <w:szCs w:val="28"/>
          <w14:textFill>
            <w14:solidFill>
              <w14:schemeClr w14:val="tx1"/>
            </w14:solidFill>
          </w14:textFill>
        </w:rPr>
        <w:t>：           法定代表人（法定代表人授权代表）或自然人：</w:t>
      </w:r>
    </w:p>
    <w:p w14:paraId="651D3163">
      <w:pPr>
        <w:spacing w:line="400" w:lineRule="exact"/>
        <w:ind w:firstLine="480"/>
        <w:rPr>
          <w:rFonts w:ascii="Times New Roman" w:hAnsi="Times New Roman" w:eastAsia="方正仿宋_GBK"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w:t>
      </w:r>
      <w:r>
        <w:rPr>
          <w:rFonts w:hint="eastAsia" w:ascii="Times New Roman" w:hAnsi="Times New Roman" w:eastAsia="方正仿宋_GBK" w:cs="Times New Roman"/>
          <w:color w:val="000000" w:themeColor="text1"/>
          <w:szCs w:val="28"/>
          <w14:textFill>
            <w14:solidFill>
              <w14:schemeClr w14:val="tx1"/>
            </w14:solidFill>
          </w14:textFill>
        </w:rPr>
        <w:t>竞价人</w:t>
      </w:r>
      <w:r>
        <w:rPr>
          <w:rFonts w:ascii="Times New Roman" w:hAnsi="Times New Roman" w:eastAsia="方正仿宋_GBK" w:cs="Times New Roman"/>
          <w:color w:val="000000" w:themeColor="text1"/>
          <w:szCs w:val="28"/>
          <w14:textFill>
            <w14:solidFill>
              <w14:schemeClr w14:val="tx1"/>
            </w14:solidFill>
          </w14:textFill>
        </w:rPr>
        <w:t>公章）                      （签字或盖章）</w:t>
      </w:r>
    </w:p>
    <w:p w14:paraId="2BFC990E">
      <w:pPr>
        <w:pStyle w:val="8"/>
        <w:spacing w:line="480" w:lineRule="exact"/>
        <w:ind w:firstLine="560"/>
        <w:rPr>
          <w:rFonts w:ascii="Times New Roman" w:hAnsi="Times New Roman" w:eastAsia="方正仿宋_GBK" w:cs="Times New Roman"/>
          <w:color w:val="000000" w:themeColor="text1"/>
          <w:sz w:val="28"/>
          <w:szCs w:val="28"/>
          <w14:textFill>
            <w14:solidFill>
              <w14:schemeClr w14:val="tx1"/>
            </w14:solidFill>
          </w14:textFill>
        </w:rPr>
      </w:pPr>
    </w:p>
    <w:p w14:paraId="14886BC1">
      <w:pPr>
        <w:pStyle w:val="8"/>
        <w:spacing w:line="480" w:lineRule="exact"/>
        <w:ind w:firstLine="560"/>
        <w:rPr>
          <w:rFonts w:ascii="Times New Roman" w:hAnsi="Times New Roman" w:eastAsia="方正仿宋_GBK" w:cs="Times New Roman"/>
          <w:color w:val="000000" w:themeColor="text1"/>
          <w:sz w:val="28"/>
          <w:szCs w:val="28"/>
          <w14:textFill>
            <w14:solidFill>
              <w14:schemeClr w14:val="tx1"/>
            </w14:solidFill>
          </w14:textFill>
        </w:rPr>
      </w:pPr>
    </w:p>
    <w:p w14:paraId="509A9165">
      <w:pPr>
        <w:tabs>
          <w:tab w:val="left" w:pos="6300"/>
        </w:tabs>
        <w:snapToGrid w:val="0"/>
        <w:spacing w:line="400" w:lineRule="exact"/>
        <w:ind w:firstLine="480"/>
        <w:rPr>
          <w:rFonts w:ascii="Times New Roman" w:hAnsi="Times New Roman" w:cs="Times New Roman"/>
          <w:color w:val="000000" w:themeColor="text1"/>
          <w:szCs w:val="28"/>
          <w14:textFill>
            <w14:solidFill>
              <w14:schemeClr w14:val="tx1"/>
            </w14:solidFill>
          </w14:textFill>
        </w:rPr>
      </w:pPr>
      <w:r>
        <w:rPr>
          <w:rFonts w:ascii="Times New Roman" w:hAnsi="Times New Roman" w:eastAsia="方正仿宋_GBK" w:cs="Times New Roman"/>
          <w:color w:val="000000" w:themeColor="text1"/>
          <w:szCs w:val="28"/>
          <w14:textFill>
            <w14:solidFill>
              <w14:schemeClr w14:val="tx1"/>
            </w14:solidFill>
          </w14:textFill>
        </w:rPr>
        <w:t xml:space="preserve">                                年     月     日</w:t>
      </w:r>
    </w:p>
    <w:p w14:paraId="54C8B811">
      <w:pPr>
        <w:wordWrap w:val="0"/>
        <w:ind w:right="838" w:rightChars="349" w:firstLine="6720" w:firstLineChars="2800"/>
        <w:jc w:val="right"/>
        <w:rPr>
          <w:rFonts w:hint="eastAsia" w:ascii="方正仿宋_GBK" w:hAnsi="宋体" w:eastAsia="方正仿宋_GBK" w:cs="宋体"/>
          <w:color w:val="000000" w:themeColor="text1"/>
          <w14:textFill>
            <w14:solidFill>
              <w14:schemeClr w14:val="tx1"/>
            </w14:solidFill>
          </w14:textFill>
        </w:rPr>
      </w:pPr>
    </w:p>
    <w:p w14:paraId="334A3EFD">
      <w:pPr>
        <w:ind w:firstLine="480"/>
        <w:rPr>
          <w:rFonts w:hint="eastAsia" w:ascii="方正仿宋_GBK" w:hAnsi="宋体" w:eastAsia="方正仿宋_GBK" w:cs="宋体"/>
          <w:color w:val="000000" w:themeColor="text1"/>
          <w14:textFill>
            <w14:solidFill>
              <w14:schemeClr w14:val="tx1"/>
            </w14:solidFill>
          </w14:textFill>
        </w:rPr>
      </w:pPr>
    </w:p>
    <w:p w14:paraId="425F4F72">
      <w:pPr>
        <w:ind w:firstLine="480"/>
        <w:rPr>
          <w:rFonts w:hint="eastAsia" w:ascii="方正仿宋_GBK" w:hAnsi="宋体" w:eastAsia="方正仿宋_GBK" w:cs="宋体"/>
          <w:color w:val="000000" w:themeColor="text1"/>
          <w:szCs w:val="22"/>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szCs w:val="22"/>
          <w14:textFill>
            <w14:solidFill>
              <w14:schemeClr w14:val="tx1"/>
            </w14:solidFill>
          </w14:textFill>
        </w:rPr>
        <w:t>（三）第四篇评审因素商务部分所需证明材料（如有，格式自拟）</w:t>
      </w:r>
    </w:p>
    <w:p w14:paraId="5D779297">
      <w:pPr>
        <w:ind w:firstLine="480"/>
        <w:rPr>
          <w:rFonts w:hint="eastAsia" w:ascii="方正仿宋_GBK" w:hAnsi="宋体" w:eastAsia="方正仿宋_GBK" w:cs="宋体"/>
          <w:color w:val="000000" w:themeColor="text1"/>
          <w:szCs w:val="22"/>
          <w14:textFill>
            <w14:solidFill>
              <w14:schemeClr w14:val="tx1"/>
            </w14:solidFill>
          </w14:textFill>
        </w:rPr>
      </w:pPr>
    </w:p>
    <w:p w14:paraId="4F3FA450">
      <w:pPr>
        <w:ind w:firstLine="480"/>
        <w:rPr>
          <w:rFonts w:hint="eastAsia" w:ascii="方正仿宋_GBK" w:hAnsi="宋体" w:eastAsia="方正仿宋_GBK" w:cs="宋体"/>
          <w:color w:val="000000" w:themeColor="text1"/>
          <w:szCs w:val="22"/>
          <w14:textFill>
            <w14:solidFill>
              <w14:schemeClr w14:val="tx1"/>
            </w14:solidFill>
          </w14:textFill>
        </w:rPr>
      </w:pPr>
    </w:p>
    <w:p w14:paraId="578F7BC2">
      <w:pPr>
        <w:ind w:firstLine="480"/>
        <w:rPr>
          <w:rFonts w:hint="eastAsia" w:ascii="方正仿宋_GBK" w:hAnsi="宋体" w:eastAsia="方正仿宋_GBK" w:cs="宋体"/>
          <w:color w:val="000000" w:themeColor="text1"/>
          <w:szCs w:val="22"/>
          <w14:textFill>
            <w14:solidFill>
              <w14:schemeClr w14:val="tx1"/>
            </w14:solidFill>
          </w14:textFill>
        </w:rPr>
      </w:pPr>
    </w:p>
    <w:p w14:paraId="368BB47E">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（四）其他商务资料</w:t>
      </w:r>
    </w:p>
    <w:p w14:paraId="289818A5">
      <w:pPr>
        <w:pStyle w:val="3"/>
        <w:spacing w:before="120" w:after="120"/>
        <w:ind w:firstLine="560"/>
        <w:rPr>
          <w:rFonts w:hint="eastAsia" w:ascii="方正仿宋_GBK" w:hAnsi="宋体" w:eastAsia="方正仿宋_GBK" w:cs="宋体"/>
          <w:color w:val="000000" w:themeColor="text1"/>
          <w14:textFill>
            <w14:solidFill>
              <w14:schemeClr w14:val="tx1"/>
            </w14:solidFill>
          </w14:textFill>
        </w:rPr>
      </w:pPr>
      <w:bookmarkStart w:id="798" w:name="_Toc452628354"/>
      <w:bookmarkStart w:id="799" w:name="_Toc11448"/>
      <w:bookmarkStart w:id="800" w:name="_Toc30170"/>
      <w:bookmarkStart w:id="801" w:name="_Toc18468"/>
      <w:bookmarkStart w:id="802" w:name="_Toc2818"/>
      <w:bookmarkStart w:id="803" w:name="_Toc1630"/>
      <w:bookmarkStart w:id="804" w:name="_Toc27066"/>
      <w:bookmarkStart w:id="805" w:name="_Toc22487"/>
      <w:bookmarkStart w:id="806" w:name="_Toc27624"/>
      <w:bookmarkStart w:id="807" w:name="_Toc6824"/>
      <w:bookmarkStart w:id="808" w:name="_Toc20046"/>
      <w:bookmarkStart w:id="809" w:name="_Toc12485"/>
      <w:bookmarkStart w:id="810" w:name="_Toc24445"/>
      <w:bookmarkStart w:id="811" w:name="_Toc63600447"/>
      <w:bookmarkStart w:id="812" w:name="_Toc1486"/>
      <w:bookmarkStart w:id="813" w:name="_Toc14185"/>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14:textFill>
            <w14:solidFill>
              <w14:schemeClr w14:val="tx1"/>
            </w14:solidFill>
          </w14:textFill>
        </w:rPr>
        <w:t>四、其他</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Start w:id="814" w:name="_Toc3706"/>
    </w:p>
    <w:p w14:paraId="6DF647BB">
      <w:pPr>
        <w:adjustRightInd w:val="0"/>
        <w:snapToGrid w:val="0"/>
        <w:spacing w:before="240" w:beforeLines="100" w:line="360" w:lineRule="auto"/>
        <w:ind w:firstLine="0" w:firstLineChars="0"/>
        <w:jc w:val="center"/>
        <w:rPr>
          <w:rFonts w:hint="eastAsia" w:ascii="方正仿宋_GBK" w:hAnsi="宋体" w:eastAsia="方正仿宋_GBK" w:cs="宋体"/>
          <w:color w:val="000000" w:themeColor="text1"/>
          <w:sz w:val="28"/>
          <w:szCs w:val="28"/>
          <w14:textFill>
            <w14:solidFill>
              <w14:schemeClr w14:val="tx1"/>
            </w14:solidFill>
          </w14:textFill>
        </w:rPr>
      </w:pPr>
      <w:bookmarkStart w:id="815" w:name="_Hlk63595935"/>
      <w:bookmarkStart w:id="816" w:name="_Hlk70157365"/>
      <w:r>
        <w:rPr>
          <w:rFonts w:hint="eastAsia" w:ascii="方正仿宋_GBK" w:hAnsi="宋体" w:eastAsia="方正仿宋_GBK" w:cs="宋体"/>
          <w:color w:val="000000" w:themeColor="text1"/>
          <w:sz w:val="28"/>
          <w:szCs w:val="28"/>
          <w14:textFill>
            <w14:solidFill>
              <w14:schemeClr w14:val="tx1"/>
            </w14:solidFill>
          </w14:textFill>
        </w:rPr>
        <w:t>（一）中小企业声明函、监狱企业证明文件、残疾人福利性单位声明函</w:t>
      </w:r>
    </w:p>
    <w:bookmarkEnd w:id="815"/>
    <w:bookmarkEnd w:id="816"/>
    <w:p w14:paraId="1C2AD050">
      <w:pPr>
        <w:tabs>
          <w:tab w:val="left" w:pos="6300"/>
        </w:tabs>
        <w:snapToGrid w:val="0"/>
        <w:spacing w:line="500" w:lineRule="exact"/>
        <w:ind w:firstLine="0" w:firstLineChars="0"/>
        <w:jc w:val="center"/>
        <w:rPr>
          <w:rFonts w:hint="eastAsia" w:ascii="方正仿宋_GBK" w:hAnsi="宋体" w:eastAsia="方正仿宋_GBK" w:cs="宋体"/>
          <w:color w:val="000000" w:themeColor="text1"/>
          <w:sz w:val="28"/>
          <w14:textFill>
            <w14:solidFill>
              <w14:schemeClr w14:val="tx1"/>
            </w14:solidFill>
          </w14:textFill>
        </w:rPr>
      </w:pPr>
      <w:r>
        <w:rPr>
          <w:rFonts w:hint="eastAsia" w:ascii="方正仿宋_GBK" w:hAnsi="宋体" w:eastAsia="方正仿宋_GBK" w:cs="宋体"/>
          <w:color w:val="000000" w:themeColor="text1"/>
          <w:sz w:val="28"/>
          <w14:textFill>
            <w14:solidFill>
              <w14:schemeClr w14:val="tx1"/>
            </w14:solidFill>
          </w14:textFill>
        </w:rPr>
        <w:t>中小企业声明函（服务）</w:t>
      </w:r>
    </w:p>
    <w:p w14:paraId="31865ECF">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本公司（联合体）郑重声明，根据《政府采购促进中小企业发展管理办法》（</w:t>
      </w:r>
      <w:r>
        <w:rPr>
          <w:rFonts w:hint="eastAsia" w:ascii="方正仿宋_GBK" w:hAnsi="宋体" w:eastAsia="方正仿宋_GBK" w:cs="宋体"/>
          <w:color w:val="000000" w:themeColor="text1"/>
          <w:szCs w:val="24"/>
          <w14:textFill>
            <w14:solidFill>
              <w14:schemeClr w14:val="tx1"/>
            </w14:solidFill>
          </w14:textFill>
        </w:rPr>
        <w:t>财库〔2020〕46号</w:t>
      </w:r>
      <w:r>
        <w:rPr>
          <w:rFonts w:hint="eastAsia" w:ascii="方正仿宋_GBK" w:hAnsi="宋体" w:eastAsia="方正仿宋_GBK" w:cs="宋体"/>
          <w:color w:val="000000" w:themeColor="text1"/>
          <w:szCs w:val="28"/>
          <w14:textFill>
            <w14:solidFill>
              <w14:schemeClr w14:val="tx1"/>
            </w14:solidFill>
          </w14:textFill>
        </w:rPr>
        <w:t>）的规定，本公司（联合体）参加</w:t>
      </w:r>
      <w:r>
        <w:rPr>
          <w:rFonts w:hint="eastAsia" w:ascii="方正仿宋_GBK" w:hAnsi="宋体" w:eastAsia="方正仿宋_GBK" w:cs="宋体"/>
          <w:color w:val="000000" w:themeColor="text1"/>
          <w:szCs w:val="28"/>
          <w:u w:val="single"/>
          <w14:textFill>
            <w14:solidFill>
              <w14:schemeClr w14:val="tx1"/>
            </w14:solidFill>
          </w14:textFill>
        </w:rPr>
        <w:t>（单位名称）</w:t>
      </w:r>
      <w:r>
        <w:rPr>
          <w:rFonts w:hint="eastAsia" w:ascii="方正仿宋_GBK" w:hAnsi="宋体" w:eastAsia="方正仿宋_GBK" w:cs="宋体"/>
          <w:color w:val="000000" w:themeColor="text1"/>
          <w:szCs w:val="28"/>
          <w14:textFill>
            <w14:solidFill>
              <w14:schemeClr w14:val="tx1"/>
            </w14:solidFill>
          </w14:textFill>
        </w:rPr>
        <w:t>的</w:t>
      </w:r>
      <w:r>
        <w:rPr>
          <w:rFonts w:hint="eastAsia" w:ascii="方正仿宋_GBK" w:hAnsi="宋体" w:eastAsia="方正仿宋_GBK" w:cs="宋体"/>
          <w:color w:val="000000" w:themeColor="text1"/>
          <w:szCs w:val="28"/>
          <w:u w:val="single"/>
          <w14:textFill>
            <w14:solidFill>
              <w14:schemeClr w14:val="tx1"/>
            </w14:solidFill>
          </w14:textFill>
        </w:rPr>
        <w:t>（项目名称）</w:t>
      </w:r>
      <w:r>
        <w:rPr>
          <w:rFonts w:hint="eastAsia" w:ascii="方正仿宋_GBK" w:hAnsi="宋体" w:eastAsia="方正仿宋_GBK" w:cs="宋体"/>
          <w:color w:val="000000" w:themeColor="text1"/>
          <w:szCs w:val="28"/>
          <w14:textFill>
            <w14:solidFill>
              <w14:schemeClr w14:val="tx1"/>
            </w14:solidFill>
          </w14:textFill>
        </w:rPr>
        <w:t>采购活动，服务全部由符合政策要求的中小企业承接。相关企业（含联合体中的中小企业、签订分包意向协议的中小企业）的具体情况如下：</w:t>
      </w:r>
    </w:p>
    <w:p w14:paraId="0AF00B90">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1.</w:t>
      </w:r>
      <w:r>
        <w:rPr>
          <w:rFonts w:hint="eastAsia" w:ascii="方正仿宋_GBK" w:hAnsi="宋体" w:eastAsia="方正仿宋_GBK" w:cs="宋体"/>
          <w:color w:val="000000" w:themeColor="text1"/>
          <w:szCs w:val="28"/>
          <w:u w:val="single"/>
          <w14:textFill>
            <w14:solidFill>
              <w14:schemeClr w14:val="tx1"/>
            </w14:solidFill>
          </w14:textFill>
        </w:rPr>
        <w:t>（标的名称）</w:t>
      </w:r>
      <w:r>
        <w:rPr>
          <w:rFonts w:hint="eastAsia" w:ascii="方正仿宋_GBK" w:hAnsi="宋体" w:eastAsia="方正仿宋_GBK" w:cs="宋体"/>
          <w:color w:val="000000" w:themeColor="text1"/>
          <w:szCs w:val="28"/>
          <w14:textFill>
            <w14:solidFill>
              <w14:schemeClr w14:val="tx1"/>
            </w14:solidFill>
          </w14:textFill>
        </w:rPr>
        <w:t>，属于</w:t>
      </w:r>
      <w:r>
        <w:rPr>
          <w:rFonts w:hint="eastAsia" w:ascii="方正仿宋_GBK" w:hAnsi="宋体" w:eastAsia="方正仿宋_GBK" w:cs="宋体"/>
          <w:color w:val="000000" w:themeColor="text1"/>
          <w:szCs w:val="28"/>
          <w:u w:val="single"/>
          <w14:textFill>
            <w14:solidFill>
              <w14:schemeClr w14:val="tx1"/>
            </w14:solidFill>
          </w14:textFill>
        </w:rPr>
        <w:t>（采购文件中明确的所属行业）行业</w:t>
      </w:r>
      <w:r>
        <w:rPr>
          <w:rFonts w:hint="eastAsia" w:ascii="方正仿宋_GBK" w:hAnsi="宋体" w:eastAsia="方正仿宋_GBK" w:cs="宋体"/>
          <w:color w:val="000000" w:themeColor="text1"/>
          <w:szCs w:val="28"/>
          <w14:textFill>
            <w14:solidFill>
              <w14:schemeClr w14:val="tx1"/>
            </w14:solidFill>
          </w14:textFill>
        </w:rPr>
        <w:t>；承接企业为</w:t>
      </w:r>
      <w:r>
        <w:rPr>
          <w:rFonts w:hint="eastAsia" w:ascii="方正仿宋_GBK" w:hAnsi="宋体" w:eastAsia="方正仿宋_GBK" w:cs="宋体"/>
          <w:color w:val="000000" w:themeColor="text1"/>
          <w:szCs w:val="28"/>
          <w:u w:val="single"/>
          <w14:textFill>
            <w14:solidFill>
              <w14:schemeClr w14:val="tx1"/>
            </w14:solidFill>
          </w14:textFill>
        </w:rPr>
        <w:t>（企业名称）</w:t>
      </w:r>
      <w:r>
        <w:rPr>
          <w:rFonts w:hint="eastAsia" w:ascii="方正仿宋_GBK" w:hAnsi="宋体" w:eastAsia="方正仿宋_GBK" w:cs="宋体"/>
          <w:color w:val="000000" w:themeColor="text1"/>
          <w:szCs w:val="28"/>
          <w14:textFill>
            <w14:solidFill>
              <w14:schemeClr w14:val="tx1"/>
            </w14:solidFill>
          </w14:textFill>
        </w:rPr>
        <w:t>，从业人员人，营业收入为万元，资产总额为万元，属于</w:t>
      </w:r>
      <w:r>
        <w:rPr>
          <w:rFonts w:hint="eastAsia" w:ascii="方正仿宋_GBK" w:hAnsi="宋体" w:eastAsia="方正仿宋_GBK" w:cs="宋体"/>
          <w:color w:val="000000" w:themeColor="text1"/>
          <w:szCs w:val="28"/>
          <w:u w:val="single"/>
          <w14:textFill>
            <w14:solidFill>
              <w14:schemeClr w14:val="tx1"/>
            </w14:solidFill>
          </w14:textFill>
        </w:rPr>
        <w:t>（中型企业、小型企业</w:t>
      </w:r>
      <w:r>
        <w:rPr>
          <w:rFonts w:hint="eastAsia" w:ascii="方正仿宋_GBK" w:hAnsi="宋体" w:eastAsia="方正仿宋_GBK" w:cs="宋体"/>
          <w:color w:val="000000" w:themeColor="text1"/>
          <w:szCs w:val="28"/>
          <w14:textFill>
            <w14:solidFill>
              <w14:schemeClr w14:val="tx1"/>
            </w14:solidFill>
          </w14:textFill>
        </w:rPr>
        <w:t>、微型企业）；</w:t>
      </w:r>
    </w:p>
    <w:p w14:paraId="35F8370E">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bookmarkStart w:id="817" w:name="_Hlk85123035"/>
      <w:r>
        <w:rPr>
          <w:rFonts w:hint="eastAsia" w:ascii="方正仿宋_GBK" w:hAnsi="宋体" w:eastAsia="方正仿宋_GBK" w:cs="宋体"/>
          <w:color w:val="000000" w:themeColor="text1"/>
          <w:szCs w:val="28"/>
          <w14:textFill>
            <w14:solidFill>
              <w14:schemeClr w14:val="tx1"/>
            </w14:solidFill>
          </w14:textFill>
        </w:rPr>
        <w:t>为本标的提供的服务人员人，其中与本企业签订劳动合同人，其他人员人。</w:t>
      </w:r>
      <w:r>
        <w:rPr>
          <w:rFonts w:hint="eastAsia" w:ascii="方正仿宋_GBK" w:hAnsi="宋体" w:eastAsia="方正仿宋_GBK" w:cs="宋体"/>
          <w:b/>
          <w:bCs/>
          <w:color w:val="000000" w:themeColor="text1"/>
          <w:szCs w:val="28"/>
          <w14:textFill>
            <w14:solidFill>
              <w14:schemeClr w14:val="tx1"/>
            </w14:solidFill>
          </w14:textFill>
        </w:rPr>
        <w:t>有其他人员的不符合中小企业扶持政策;</w:t>
      </w:r>
      <w:bookmarkEnd w:id="817"/>
    </w:p>
    <w:p w14:paraId="0E64E037">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2.（标的名称），属于（采购文件中明</w:t>
      </w:r>
      <w:r>
        <w:rPr>
          <w:rFonts w:hint="eastAsia" w:ascii="方正仿宋_GBK" w:hAnsi="宋体" w:eastAsia="方正仿宋_GBK" w:cs="宋体"/>
          <w:color w:val="000000" w:themeColor="text1"/>
          <w:szCs w:val="28"/>
          <w:u w:val="single"/>
          <w14:textFill>
            <w14:solidFill>
              <w14:schemeClr w14:val="tx1"/>
            </w14:solidFill>
          </w14:textFill>
        </w:rPr>
        <w:t>确的所属行业）行业</w:t>
      </w:r>
      <w:r>
        <w:rPr>
          <w:rFonts w:hint="eastAsia" w:ascii="方正仿宋_GBK" w:hAnsi="宋体" w:eastAsia="方正仿宋_GBK" w:cs="宋体"/>
          <w:color w:val="000000" w:themeColor="text1"/>
          <w:szCs w:val="28"/>
          <w14:textFill>
            <w14:solidFill>
              <w14:schemeClr w14:val="tx1"/>
            </w14:solidFill>
          </w14:textFill>
        </w:rPr>
        <w:t>；承接企业为</w:t>
      </w:r>
      <w:r>
        <w:rPr>
          <w:rFonts w:hint="eastAsia" w:ascii="方正仿宋_GBK" w:hAnsi="宋体" w:eastAsia="方正仿宋_GBK" w:cs="宋体"/>
          <w:color w:val="000000" w:themeColor="text1"/>
          <w:szCs w:val="28"/>
          <w:u w:val="single"/>
          <w14:textFill>
            <w14:solidFill>
              <w14:schemeClr w14:val="tx1"/>
            </w14:solidFill>
          </w14:textFill>
        </w:rPr>
        <w:t>（企业名称）</w:t>
      </w:r>
      <w:r>
        <w:rPr>
          <w:rFonts w:hint="eastAsia" w:ascii="方正仿宋_GBK" w:hAnsi="宋体" w:eastAsia="方正仿宋_GBK" w:cs="宋体"/>
          <w:color w:val="000000" w:themeColor="text1"/>
          <w:szCs w:val="28"/>
          <w14:textFill>
            <w14:solidFill>
              <w14:schemeClr w14:val="tx1"/>
            </w14:solidFill>
          </w14:textFill>
        </w:rPr>
        <w:t>，从业人员人，营业收入为万元，资产总额为万元，属于</w:t>
      </w:r>
      <w:r>
        <w:rPr>
          <w:rFonts w:hint="eastAsia" w:ascii="方正仿宋_GBK" w:hAnsi="宋体" w:eastAsia="方正仿宋_GBK" w:cs="宋体"/>
          <w:color w:val="000000" w:themeColor="text1"/>
          <w:szCs w:val="28"/>
          <w:u w:val="single"/>
          <w14:textFill>
            <w14:solidFill>
              <w14:schemeClr w14:val="tx1"/>
            </w14:solidFill>
          </w14:textFill>
        </w:rPr>
        <w:t>（中型企业、小型企业、微型企业）</w:t>
      </w:r>
      <w:r>
        <w:rPr>
          <w:rFonts w:hint="eastAsia" w:ascii="方正仿宋_GBK" w:hAnsi="宋体" w:eastAsia="方正仿宋_GBK" w:cs="宋体"/>
          <w:color w:val="000000" w:themeColor="text1"/>
          <w:szCs w:val="28"/>
          <w14:textFill>
            <w14:solidFill>
              <w14:schemeClr w14:val="tx1"/>
            </w14:solidFill>
          </w14:textFill>
        </w:rPr>
        <w:t>；</w:t>
      </w:r>
    </w:p>
    <w:p w14:paraId="4EFA666F">
      <w:pPr>
        <w:tabs>
          <w:tab w:val="left" w:pos="6300"/>
        </w:tabs>
        <w:snapToGrid w:val="0"/>
        <w:spacing w:line="500" w:lineRule="exact"/>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为本标的提供的服务人员人，其中与本企业签订劳动合同人，其他人员人。</w:t>
      </w:r>
      <w:r>
        <w:rPr>
          <w:rFonts w:hint="eastAsia" w:ascii="方正仿宋_GBK" w:hAnsi="宋体" w:eastAsia="方正仿宋_GBK" w:cs="宋体"/>
          <w:b/>
          <w:bCs/>
          <w:color w:val="000000" w:themeColor="text1"/>
          <w:szCs w:val="28"/>
          <w14:textFill>
            <w14:solidFill>
              <w14:schemeClr w14:val="tx1"/>
            </w14:solidFill>
          </w14:textFill>
        </w:rPr>
        <w:t>有其他人员的不符合中小企业扶持政策;</w:t>
      </w:r>
    </w:p>
    <w:p w14:paraId="7738A2F6">
      <w:pPr>
        <w:tabs>
          <w:tab w:val="left" w:pos="6300"/>
        </w:tabs>
        <w:snapToGrid w:val="0"/>
        <w:spacing w:line="500" w:lineRule="exact"/>
        <w:ind w:right="782"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w:t>
      </w:r>
    </w:p>
    <w:p w14:paraId="52D0B41F">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以上企业，不属于大企业的分支机构，不存在控股股东为大企业的情形，也不存在与大企业的负责人为同一人的情形。</w:t>
      </w:r>
    </w:p>
    <w:p w14:paraId="2B9AF3BD">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本企业对上述声明内容的真实性负责。如有虚假，将依法承担相应责任。</w:t>
      </w:r>
    </w:p>
    <w:p w14:paraId="72855167">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7F90E203">
      <w:pPr>
        <w:tabs>
          <w:tab w:val="left" w:pos="6300"/>
        </w:tabs>
        <w:snapToGrid w:val="0"/>
        <w:spacing w:line="500" w:lineRule="exact"/>
        <w:ind w:firstLine="6120" w:firstLineChars="255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 xml:space="preserve">企业名称（盖章）： </w:t>
      </w:r>
    </w:p>
    <w:p w14:paraId="743B8832">
      <w:pPr>
        <w:tabs>
          <w:tab w:val="left" w:pos="6300"/>
        </w:tabs>
        <w:snapToGrid w:val="0"/>
        <w:spacing w:line="500" w:lineRule="exact"/>
        <w:ind w:firstLine="6120" w:firstLineChars="255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t>日期：</w:t>
      </w:r>
    </w:p>
    <w:p w14:paraId="2AE4D0CA">
      <w:pPr>
        <w:tabs>
          <w:tab w:val="left" w:pos="6300"/>
        </w:tabs>
        <w:snapToGrid w:val="0"/>
        <w:spacing w:line="420" w:lineRule="exact"/>
        <w:ind w:firstLine="0" w:firstLineChars="0"/>
        <w:jc w:val="left"/>
        <w:rPr>
          <w:rFonts w:hint="eastAsia" w:ascii="方正仿宋_GBK" w:hAnsi="宋体" w:eastAsia="方正仿宋_GBK" w:cs="宋体"/>
          <w:color w:val="000000" w:themeColor="text1"/>
          <w:kern w:val="0"/>
          <w:sz w:val="21"/>
          <w:szCs w:val="21"/>
          <w14:textFill>
            <w14:solidFill>
              <w14:schemeClr w14:val="tx1"/>
            </w14:solidFill>
          </w14:textFill>
        </w:rPr>
      </w:pPr>
      <w:r>
        <w:rPr>
          <w:rFonts w:hint="eastAsia" w:ascii="方正仿宋_GBK" w:hAnsi="宋体" w:eastAsia="方正仿宋_GBK" w:cs="宋体"/>
          <w:color w:val="000000" w:themeColor="text1"/>
          <w:kern w:val="0"/>
          <w:sz w:val="21"/>
          <w:szCs w:val="21"/>
          <w14:textFill>
            <w14:solidFill>
              <w14:schemeClr w14:val="tx1"/>
            </w14:solidFill>
          </w14:textFill>
        </w:rPr>
        <w:t>填写时应注意以下事项：</w:t>
      </w:r>
    </w:p>
    <w:p w14:paraId="272A9B25">
      <w:pPr>
        <w:tabs>
          <w:tab w:val="left" w:pos="6300"/>
        </w:tabs>
        <w:snapToGrid w:val="0"/>
        <w:spacing w:line="420" w:lineRule="exact"/>
        <w:ind w:firstLine="420"/>
        <w:jc w:val="left"/>
        <w:rPr>
          <w:rFonts w:hint="eastAsia" w:ascii="方正仿宋_GBK" w:hAnsi="宋体" w:eastAsia="方正仿宋_GBK" w:cs="宋体"/>
          <w:color w:val="000000" w:themeColor="text1"/>
          <w:kern w:val="0"/>
          <w:sz w:val="21"/>
          <w:szCs w:val="21"/>
          <w14:textFill>
            <w14:solidFill>
              <w14:schemeClr w14:val="tx1"/>
            </w14:solidFill>
          </w14:textFill>
        </w:rPr>
      </w:pPr>
      <w:r>
        <w:rPr>
          <w:rFonts w:hint="eastAsia" w:ascii="方正仿宋_GBK" w:hAnsi="宋体" w:eastAsia="方正仿宋_GBK" w:cs="宋体"/>
          <w:color w:val="000000" w:themeColor="text1"/>
          <w:kern w:val="0"/>
          <w:sz w:val="21"/>
          <w:szCs w:val="21"/>
          <w14:textFill>
            <w14:solidFill>
              <w14:schemeClr w14:val="tx1"/>
            </w14:solidFill>
          </w14:textFill>
        </w:rPr>
        <w:t>1.从业人员、营业收入、资产总额填报上一年度数据，无上一年度数据的新成立企业可不填报。</w:t>
      </w:r>
    </w:p>
    <w:p w14:paraId="288E920A">
      <w:pPr>
        <w:tabs>
          <w:tab w:val="left" w:pos="6300"/>
        </w:tabs>
        <w:snapToGrid w:val="0"/>
        <w:spacing w:line="420" w:lineRule="exact"/>
        <w:ind w:firstLine="420"/>
        <w:jc w:val="left"/>
        <w:rPr>
          <w:rFonts w:hint="eastAsia" w:ascii="方正仿宋_GBK" w:hAnsi="宋体" w:eastAsia="方正仿宋_GBK" w:cs="宋体"/>
          <w:b/>
          <w:color w:val="000000" w:themeColor="text1"/>
          <w:kern w:val="0"/>
          <w:sz w:val="21"/>
          <w:szCs w:val="21"/>
          <w:u w:val="single"/>
          <w14:textFill>
            <w14:solidFill>
              <w14:schemeClr w14:val="tx1"/>
            </w14:solidFill>
          </w14:textFill>
        </w:rPr>
      </w:pPr>
      <w:r>
        <w:rPr>
          <w:rFonts w:hint="eastAsia" w:ascii="方正仿宋_GBK" w:hAnsi="宋体" w:eastAsia="方正仿宋_GBK" w:cs="宋体"/>
          <w:b/>
          <w:color w:val="000000" w:themeColor="text1"/>
          <w:kern w:val="0"/>
          <w:sz w:val="21"/>
          <w:szCs w:val="21"/>
          <w:u w:val="single"/>
          <w14:textFill>
            <w14:solidFill>
              <w14:schemeClr w14:val="tx1"/>
            </w14:solidFill>
          </w14:textFill>
        </w:rPr>
        <w:t>2.中小企业应当按照《中小企业划型标准规定》（工信部联企业〔2011〕300号），如实填写并提交《中小企业声明函》。</w:t>
      </w:r>
    </w:p>
    <w:p w14:paraId="00855AEF">
      <w:pPr>
        <w:spacing w:line="480" w:lineRule="exact"/>
        <w:ind w:firstLine="420"/>
        <w:jc w:val="left"/>
        <w:rPr>
          <w:rFonts w:hint="eastAsia" w:ascii="方正仿宋_GBK" w:hAnsi="宋体" w:eastAsia="方正仿宋_GBK" w:cs="宋体"/>
          <w:b/>
          <w:color w:val="000000" w:themeColor="text1"/>
          <w:kern w:val="0"/>
          <w:sz w:val="21"/>
          <w:szCs w:val="21"/>
          <w:u w:val="single"/>
          <w14:textFill>
            <w14:solidFill>
              <w14:schemeClr w14:val="tx1"/>
            </w14:solidFill>
          </w14:textFill>
        </w:rPr>
      </w:pPr>
      <w:r>
        <w:rPr>
          <w:rFonts w:hint="eastAsia" w:ascii="方正仿宋_GBK" w:hAnsi="宋体" w:eastAsia="方正仿宋_GBK" w:cs="宋体"/>
          <w:b/>
          <w:color w:val="000000" w:themeColor="text1"/>
          <w:kern w:val="0"/>
          <w:sz w:val="21"/>
          <w:szCs w:val="21"/>
          <w:u w:val="single"/>
          <w14:textFill>
            <w14:solidFill>
              <w14:schemeClr w14:val="tx1"/>
            </w14:solidFill>
          </w14:textFill>
        </w:rPr>
        <w:t>3.若竞价人未按照竞价邀请书中“采购标的对应的中小企业划分标准所属行业：其他未列明行业”填写所属行业，或所填写企业类型与相应行业划型标准不一致的，不享受中小企业扶持政策。</w:t>
      </w:r>
    </w:p>
    <w:p w14:paraId="16FE3960">
      <w:pPr>
        <w:spacing w:line="48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注：各行业划型标准：</w:t>
      </w:r>
    </w:p>
    <w:p w14:paraId="31EBD458">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3F3E095A">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9F98791">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D29AF3">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E8F0484">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AD042E">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B865CCF">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A35407">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DB80C9">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E87C9A">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011B21">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67A8C24">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5F2209">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A98EC1">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D679FF">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131D74">
      <w:pPr>
        <w:tabs>
          <w:tab w:val="left" w:pos="6300"/>
        </w:tabs>
        <w:snapToGrid w:val="0"/>
        <w:spacing w:line="400" w:lineRule="exact"/>
        <w:ind w:firstLine="420"/>
        <w:jc w:val="left"/>
        <w:rPr>
          <w:rFonts w:hint="eastAsia" w:ascii="方正仿宋_GBK" w:hAnsi="宋体" w:eastAsia="方正仿宋_GBK" w:cs="宋体"/>
          <w:color w:val="000000" w:themeColor="text1"/>
          <w:sz w:val="21"/>
          <w:szCs w:val="21"/>
          <w14:textFill>
            <w14:solidFill>
              <w14:schemeClr w14:val="tx1"/>
            </w14:solidFill>
          </w14:textFill>
        </w:rPr>
      </w:pPr>
      <w:r>
        <w:rPr>
          <w:rFonts w:hint="eastAsia" w:ascii="方正仿宋_GBK" w:hAnsi="宋体" w:eastAsia="方正仿宋_GBK" w:cs="宋体"/>
          <w:color w:val="000000" w:themeColor="text1"/>
          <w:sz w:val="21"/>
          <w:szCs w:val="2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185DC19C">
      <w:pPr>
        <w:spacing w:before="240" w:beforeLines="100" w:after="240" w:afterLines="100"/>
        <w:ind w:firstLine="0" w:firstLineChars="0"/>
        <w:jc w:val="center"/>
        <w:rPr>
          <w:rFonts w:hint="eastAsia" w:ascii="方正仿宋_GBK" w:hAnsi="宋体" w:eastAsia="方正仿宋_GBK" w:cs="宋体"/>
          <w:color w:val="000000" w:themeColor="text1"/>
          <w:sz w:val="28"/>
          <w:szCs w:val="2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sz w:val="28"/>
          <w:szCs w:val="21"/>
          <w14:textFill>
            <w14:solidFill>
              <w14:schemeClr w14:val="tx1"/>
            </w14:solidFill>
          </w14:textFill>
        </w:rPr>
        <w:t>监狱企业证明文件</w:t>
      </w:r>
    </w:p>
    <w:p w14:paraId="5FD948AC">
      <w:pPr>
        <w:ind w:firstLine="480"/>
        <w:jc w:val="center"/>
        <w:rPr>
          <w:rFonts w:hint="eastAsia" w:ascii="方正仿宋_GBK" w:hAnsi="宋体" w:eastAsia="方正仿宋_GBK" w:cs="宋体"/>
          <w:color w:val="000000" w:themeColor="text1"/>
          <w:sz w:val="28"/>
          <w:szCs w:val="21"/>
          <w14:textFill>
            <w14:solidFill>
              <w14:schemeClr w14:val="tx1"/>
            </w14:solidFill>
          </w14:textFill>
        </w:rPr>
      </w:pPr>
      <w:r>
        <w:rPr>
          <w:rFonts w:hint="eastAsia" w:ascii="方正仿宋_GBK" w:hAnsi="宋体" w:eastAsia="方正仿宋_GBK" w:cs="宋体"/>
          <w:color w:val="000000" w:themeColor="text1"/>
          <w:szCs w:val="22"/>
          <w14:textFill>
            <w14:solidFill>
              <w14:schemeClr w14:val="tx1"/>
            </w14:solidFill>
          </w14:textFill>
        </w:rPr>
        <w:t>以省级以上监狱管理局、戒毒管理局（含新疆生产建设兵团）出具的属于监狱企业的证明文件为准。</w:t>
      </w:r>
      <w:r>
        <w:rPr>
          <w:rFonts w:hint="eastAsia" w:ascii="方正仿宋_GBK" w:hAnsi="宋体" w:eastAsia="方正仿宋_GBK" w:cs="宋体"/>
          <w:color w:val="000000" w:themeColor="text1"/>
          <w:szCs w:val="22"/>
          <w14:textFill>
            <w14:solidFill>
              <w14:schemeClr w14:val="tx1"/>
            </w14:solidFill>
          </w14:textFill>
        </w:rPr>
        <w:br w:type="page"/>
      </w:r>
      <w:r>
        <w:rPr>
          <w:rFonts w:hint="eastAsia" w:ascii="方正仿宋_GBK" w:hAnsi="宋体" w:eastAsia="方正仿宋_GBK" w:cs="宋体"/>
          <w:color w:val="000000" w:themeColor="text1"/>
          <w:sz w:val="28"/>
          <w:szCs w:val="21"/>
          <w14:textFill>
            <w14:solidFill>
              <w14:schemeClr w14:val="tx1"/>
            </w14:solidFill>
          </w14:textFill>
        </w:rPr>
        <w:t>残疾人福利性单位声明函</w:t>
      </w:r>
    </w:p>
    <w:p w14:paraId="2DC5E7D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5D1361">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本单位对上述声明的真实性负责。如有虚假，将依法承担相应责任。</w:t>
      </w:r>
    </w:p>
    <w:p w14:paraId="39BD4103">
      <w:pPr>
        <w:ind w:firstLine="480"/>
        <w:rPr>
          <w:rFonts w:hint="eastAsia" w:ascii="方正仿宋_GBK" w:hAnsi="宋体" w:eastAsia="方正仿宋_GBK" w:cs="宋体"/>
          <w:color w:val="000000" w:themeColor="text1"/>
          <w14:textFill>
            <w14:solidFill>
              <w14:schemeClr w14:val="tx1"/>
            </w14:solidFill>
          </w14:textFill>
        </w:rPr>
      </w:pPr>
    </w:p>
    <w:p w14:paraId="2C73E296">
      <w:pPr>
        <w:ind w:firstLine="480"/>
        <w:rPr>
          <w:rFonts w:hint="eastAsia" w:ascii="方正仿宋_GBK" w:hAnsi="宋体" w:eastAsia="方正仿宋_GBK" w:cs="宋体"/>
          <w:color w:val="000000" w:themeColor="text1"/>
          <w14:textFill>
            <w14:solidFill>
              <w14:schemeClr w14:val="tx1"/>
            </w14:solidFill>
          </w14:textFill>
        </w:rPr>
      </w:pPr>
    </w:p>
    <w:p w14:paraId="74C86DCE">
      <w:pPr>
        <w:wordWrap w:val="0"/>
        <w:ind w:firstLine="48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竞价人名称（盖章）：             </w:t>
      </w:r>
    </w:p>
    <w:p w14:paraId="48296575">
      <w:pPr>
        <w:wordWrap w:val="0"/>
        <w:ind w:firstLine="48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日期：                          </w:t>
      </w:r>
    </w:p>
    <w:p w14:paraId="77260973">
      <w:pPr>
        <w:ind w:firstLine="480"/>
        <w:rPr>
          <w:rFonts w:hint="eastAsia" w:ascii="方正仿宋_GBK" w:hAnsi="宋体" w:eastAsia="方正仿宋_GBK" w:cs="宋体"/>
          <w:color w:val="000000" w:themeColor="text1"/>
          <w14:textFill>
            <w14:solidFill>
              <w14:schemeClr w14:val="tx1"/>
            </w14:solidFill>
          </w14:textFill>
        </w:rPr>
      </w:pPr>
    </w:p>
    <w:p w14:paraId="094579B7">
      <w:pPr>
        <w:ind w:firstLine="480"/>
        <w:rPr>
          <w:rFonts w:hint="eastAsia" w:ascii="方正仿宋_GBK" w:hAnsi="宋体" w:eastAsia="方正仿宋_GBK" w:cs="宋体"/>
          <w:color w:val="000000" w:themeColor="text1"/>
          <w14:textFill>
            <w14:solidFill>
              <w14:schemeClr w14:val="tx1"/>
            </w14:solidFill>
          </w14:textFill>
        </w:rPr>
      </w:pPr>
    </w:p>
    <w:p w14:paraId="495B1B8D">
      <w:pPr>
        <w:ind w:firstLine="480"/>
        <w:rPr>
          <w:rFonts w:hint="eastAsia" w:ascii="方正仿宋_GBK" w:hAnsi="宋体" w:eastAsia="方正仿宋_GBK" w:cs="宋体"/>
          <w:color w:val="000000" w:themeColor="text1"/>
          <w14:textFill>
            <w14:solidFill>
              <w14:schemeClr w14:val="tx1"/>
            </w14:solidFill>
          </w14:textFill>
        </w:rPr>
      </w:pPr>
    </w:p>
    <w:p w14:paraId="473CC14C">
      <w:pPr>
        <w:ind w:firstLine="480"/>
        <w:rPr>
          <w:rFonts w:hint="eastAsia" w:ascii="方正仿宋_GBK" w:hAnsi="宋体" w:eastAsia="方正仿宋_GBK" w:cs="宋体"/>
          <w:color w:val="000000" w:themeColor="text1"/>
          <w14:textFill>
            <w14:solidFill>
              <w14:schemeClr w14:val="tx1"/>
            </w14:solidFill>
          </w14:textFill>
        </w:rPr>
      </w:pPr>
    </w:p>
    <w:p w14:paraId="00D0489F">
      <w:pPr>
        <w:ind w:firstLine="480"/>
        <w:rPr>
          <w:rFonts w:hint="eastAsia" w:ascii="方正仿宋_GBK" w:hAnsi="宋体" w:eastAsia="方正仿宋_GBK" w:cs="宋体"/>
          <w:color w:val="000000" w:themeColor="text1"/>
          <w14:textFill>
            <w14:solidFill>
              <w14:schemeClr w14:val="tx1"/>
            </w14:solidFill>
          </w14:textFill>
        </w:rPr>
      </w:pPr>
    </w:p>
    <w:p w14:paraId="517E9E3A">
      <w:pPr>
        <w:ind w:firstLine="480"/>
        <w:rPr>
          <w:rFonts w:hint="eastAsia" w:ascii="方正仿宋_GBK" w:hAnsi="宋体" w:eastAsia="方正仿宋_GBK" w:cs="宋体"/>
          <w:color w:val="000000" w:themeColor="text1"/>
          <w14:textFill>
            <w14:solidFill>
              <w14:schemeClr w14:val="tx1"/>
            </w14:solidFill>
          </w14:textFill>
        </w:rPr>
      </w:pPr>
    </w:p>
    <w:p w14:paraId="01890632">
      <w:pPr>
        <w:ind w:firstLine="480"/>
        <w:rPr>
          <w:rFonts w:hint="eastAsia" w:ascii="方正仿宋_GBK" w:hAnsi="宋体" w:eastAsia="方正仿宋_GBK" w:cs="宋体"/>
          <w:color w:val="000000" w:themeColor="text1"/>
          <w14:textFill>
            <w14:solidFill>
              <w14:schemeClr w14:val="tx1"/>
            </w14:solidFill>
          </w14:textFill>
        </w:rPr>
      </w:pPr>
    </w:p>
    <w:p w14:paraId="00BF530E">
      <w:pPr>
        <w:ind w:firstLine="480"/>
        <w:rPr>
          <w:rFonts w:hint="eastAsia" w:ascii="方正仿宋_GBK" w:hAnsi="宋体" w:eastAsia="方正仿宋_GBK" w:cs="宋体"/>
          <w:color w:val="000000" w:themeColor="text1"/>
          <w14:textFill>
            <w14:solidFill>
              <w14:schemeClr w14:val="tx1"/>
            </w14:solidFill>
          </w14:textFill>
        </w:rPr>
      </w:pPr>
    </w:p>
    <w:p w14:paraId="46E1FDFA">
      <w:pPr>
        <w:ind w:firstLine="480"/>
        <w:rPr>
          <w:rFonts w:hint="eastAsia" w:ascii="方正仿宋_GBK" w:hAnsi="宋体" w:eastAsia="方正仿宋_GBK" w:cs="宋体"/>
          <w:color w:val="000000" w:themeColor="text1"/>
          <w14:textFill>
            <w14:solidFill>
              <w14:schemeClr w14:val="tx1"/>
            </w14:solidFill>
          </w14:textFill>
        </w:rPr>
      </w:pPr>
    </w:p>
    <w:p w14:paraId="66D94681">
      <w:pPr>
        <w:ind w:firstLine="480"/>
        <w:rPr>
          <w:rFonts w:hint="eastAsia" w:ascii="方正仿宋_GBK" w:hAnsi="宋体" w:eastAsia="方正仿宋_GBK" w:cs="宋体"/>
          <w:color w:val="000000" w:themeColor="text1"/>
          <w14:textFill>
            <w14:solidFill>
              <w14:schemeClr w14:val="tx1"/>
            </w14:solidFill>
          </w14:textFill>
        </w:rPr>
      </w:pPr>
    </w:p>
    <w:p w14:paraId="3872BCEC">
      <w:pPr>
        <w:ind w:firstLine="480"/>
        <w:rPr>
          <w:rFonts w:hint="eastAsia" w:ascii="方正仿宋_GBK" w:hAnsi="宋体" w:eastAsia="方正仿宋_GBK" w:cs="宋体"/>
          <w:color w:val="000000" w:themeColor="text1"/>
          <w14:textFill>
            <w14:solidFill>
              <w14:schemeClr w14:val="tx1"/>
            </w14:solidFill>
          </w14:textFill>
        </w:rPr>
      </w:pPr>
    </w:p>
    <w:p w14:paraId="24C67F74">
      <w:pPr>
        <w:ind w:firstLine="480"/>
        <w:rPr>
          <w:rFonts w:hint="eastAsia" w:ascii="方正仿宋_GBK" w:hAnsi="宋体" w:eastAsia="方正仿宋_GBK" w:cs="宋体"/>
          <w:color w:val="000000" w:themeColor="text1"/>
          <w14:textFill>
            <w14:solidFill>
              <w14:schemeClr w14:val="tx1"/>
            </w14:solidFill>
          </w14:textFill>
        </w:rPr>
      </w:pPr>
    </w:p>
    <w:p w14:paraId="6E14572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若中标人为残疾人福利性单位的，将在结果公告时公告其《残疾人福利性单位声明函》。</w:t>
      </w:r>
    </w:p>
    <w:p w14:paraId="1D61A24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14:textFill>
            <w14:solidFill>
              <w14:schemeClr w14:val="tx1"/>
            </w14:solidFill>
          </w14:textFill>
        </w:rPr>
        <w:t>（二）其他与项目有关的资料（自附）</w:t>
      </w:r>
    </w:p>
    <w:p w14:paraId="459C6A78">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1CAD5929">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41422C06">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229FA983">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6236DD6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6DD9B2C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53AD6D9D">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3F5305B7">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6F0F039C">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2E0A787A">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62BC9D16">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78E33AB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40517E7D">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116E57C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512B3DDF">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02F16B28">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02A89A87">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193CDAFB">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4EA9808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57B5B4B3">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70E21AFB">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2D31F4DD">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708B887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34002B2E">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058562A6">
      <w:pPr>
        <w:pStyle w:val="20"/>
        <w:ind w:firstLine="480"/>
        <w:rPr>
          <w:rFonts w:hint="eastAsia" w:ascii="方正仿宋_GBK" w:hAnsi="宋体" w:eastAsia="方正仿宋_GBK" w:cs="宋体"/>
          <w:color w:val="000000" w:themeColor="text1"/>
          <w:sz w:val="24"/>
          <w14:textFill>
            <w14:solidFill>
              <w14:schemeClr w14:val="tx1"/>
            </w14:solidFill>
          </w14:textFill>
        </w:rPr>
      </w:pPr>
    </w:p>
    <w:p w14:paraId="69263319">
      <w:pPr>
        <w:pStyle w:val="20"/>
        <w:ind w:firstLine="480"/>
        <w:rPr>
          <w:rFonts w:hint="eastAsia" w:ascii="方正仿宋_GBK" w:hAnsi="宋体" w:eastAsia="方正仿宋_GBK" w:cs="宋体"/>
          <w:color w:val="000000" w:themeColor="text1"/>
          <w:sz w:val="24"/>
          <w14:textFill>
            <w14:solidFill>
              <w14:schemeClr w14:val="tx1"/>
            </w14:solidFill>
          </w14:textFill>
        </w:rPr>
      </w:pPr>
      <w:r>
        <w:rPr>
          <w:rFonts w:hint="eastAsia" w:ascii="方正仿宋_GBK" w:hAnsi="宋体" w:eastAsia="方正仿宋_GBK" w:cs="宋体"/>
          <w:color w:val="000000" w:themeColor="text1"/>
          <w:sz w:val="24"/>
          <w14:textFill>
            <w14:solidFill>
              <w14:schemeClr w14:val="tx1"/>
            </w14:solidFill>
          </w14:textFill>
        </w:rPr>
        <w:br w:type="page"/>
      </w:r>
    </w:p>
    <w:bookmarkEnd w:id="814"/>
    <w:p w14:paraId="79833A25">
      <w:pPr>
        <w:pStyle w:val="3"/>
        <w:spacing w:before="120" w:after="120"/>
        <w:ind w:firstLine="0" w:firstLineChars="0"/>
        <w:jc w:val="center"/>
        <w:rPr>
          <w:rFonts w:hint="eastAsia" w:ascii="方正仿宋_GBK" w:hAnsi="宋体" w:eastAsia="方正仿宋_GBK" w:cs="宋体"/>
          <w:color w:val="000000" w:themeColor="text1"/>
          <w14:textFill>
            <w14:solidFill>
              <w14:schemeClr w14:val="tx1"/>
            </w14:solidFill>
          </w14:textFill>
        </w:rPr>
      </w:pPr>
      <w:bookmarkStart w:id="818" w:name="_Toc10864"/>
      <w:bookmarkStart w:id="819" w:name="_Toc26601"/>
      <w:bookmarkStart w:id="820" w:name="_Toc17512"/>
      <w:bookmarkStart w:id="821" w:name="_Toc7332"/>
      <w:bookmarkStart w:id="822" w:name="_Toc13194"/>
      <w:bookmarkStart w:id="823" w:name="_Toc6335"/>
      <w:bookmarkStart w:id="824" w:name="_Toc9110"/>
      <w:bookmarkStart w:id="825" w:name="_Toc63600448"/>
      <w:bookmarkStart w:id="826" w:name="_Toc19566"/>
      <w:bookmarkStart w:id="827" w:name="_Toc21990"/>
      <w:bookmarkStart w:id="828" w:name="_Toc24525"/>
      <w:bookmarkStart w:id="829" w:name="_Toc16629"/>
      <w:bookmarkStart w:id="830" w:name="_Toc18599"/>
      <w:bookmarkStart w:id="831" w:name="_Toc12558"/>
      <w:r>
        <w:rPr>
          <w:rFonts w:hint="eastAsia" w:ascii="方正仿宋_GBK" w:hAnsi="宋体" w:eastAsia="方正仿宋_GBK" w:cs="宋体"/>
          <w:color w:val="000000" w:themeColor="text1"/>
          <w14:textFill>
            <w14:solidFill>
              <w14:schemeClr w14:val="tx1"/>
            </w14:solidFill>
          </w14:textFill>
        </w:rPr>
        <w:t>五、资格文件（单独装订）</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3A5A8525">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3DB29EE7">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0886E22E">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399FC585">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41694BBE">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7F8B9C59">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29FA0ADA">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787F253C">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40C4590C">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4798EAB7">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507141A6">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23F06EF9">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59DE0EFD">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36F1D328">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763E77CD">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5586DE3F">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3208EA95">
      <w:pPr>
        <w:tabs>
          <w:tab w:val="left" w:pos="3600"/>
          <w:tab w:val="left" w:pos="4480"/>
          <w:tab w:val="left" w:pos="5360"/>
        </w:tabs>
        <w:spacing w:line="360" w:lineRule="auto"/>
        <w:ind w:firstLine="640"/>
        <w:jc w:val="center"/>
        <w:rPr>
          <w:rFonts w:hint="eastAsia" w:ascii="方正仿宋_GBK" w:hAnsi="宋体" w:eastAsia="方正仿宋_GBK" w:cs="宋体"/>
          <w:b/>
          <w:bCs/>
          <w:color w:val="000000" w:themeColor="text1"/>
          <w:sz w:val="32"/>
          <w:szCs w:val="32"/>
          <w14:textFill>
            <w14:solidFill>
              <w14:schemeClr w14:val="tx1"/>
            </w14:solidFill>
          </w14:textFill>
        </w:rPr>
      </w:pPr>
    </w:p>
    <w:p w14:paraId="1B1C2BD9">
      <w:pPr>
        <w:tabs>
          <w:tab w:val="left" w:pos="3600"/>
          <w:tab w:val="left" w:pos="4480"/>
          <w:tab w:val="left" w:pos="5360"/>
        </w:tabs>
        <w:spacing w:line="360" w:lineRule="auto"/>
        <w:ind w:firstLine="640"/>
        <w:jc w:val="right"/>
        <w:rPr>
          <w:rStyle w:val="66"/>
          <w:rFonts w:hint="eastAsia" w:ascii="方正仿宋_GBK" w:hAnsi="宋体" w:eastAsia="方正仿宋_GBK" w:cs="宋体"/>
          <w:b/>
          <w:color w:val="000000" w:themeColor="text1"/>
          <w:sz w:val="52"/>
          <w:szCs w:val="52"/>
          <w14:textFill>
            <w14:solidFill>
              <w14:schemeClr w14:val="tx1"/>
            </w14:solidFill>
          </w14:textFill>
        </w:rPr>
      </w:pPr>
      <w:r>
        <w:rPr>
          <w:rFonts w:hint="eastAsia" w:ascii="方正仿宋_GBK" w:hAnsi="宋体" w:eastAsia="方正仿宋_GBK" w:cs="宋体"/>
          <w:b/>
          <w:bCs/>
          <w:color w:val="000000" w:themeColor="text1"/>
          <w:sz w:val="32"/>
          <w:szCs w:val="32"/>
          <w14:textFill>
            <w14:solidFill>
              <w14:schemeClr w14:val="tx1"/>
            </w14:solidFill>
          </w14:textFill>
        </w:rPr>
        <w:br w:type="page"/>
      </w:r>
      <w:r>
        <w:rPr>
          <w:rFonts w:hint="eastAsia" w:ascii="方正仿宋_GBK" w:hAnsi="宋体" w:eastAsia="方正仿宋_GBK" w:cs="宋体"/>
          <w:color w:val="000000" w:themeColor="text1"/>
          <w:kern w:val="0"/>
          <w:sz w:val="44"/>
          <w:szCs w:val="44"/>
          <w14:textFill>
            <w14:solidFill>
              <w14:schemeClr w14:val="tx1"/>
            </w14:solidFill>
          </w14:textFill>
        </w:rPr>
        <w:t>正本/副本</w:t>
      </w:r>
    </w:p>
    <w:p w14:paraId="22CAF5E1">
      <w:pPr>
        <w:tabs>
          <w:tab w:val="left" w:pos="3600"/>
          <w:tab w:val="left" w:pos="4480"/>
          <w:tab w:val="left" w:pos="5360"/>
        </w:tabs>
        <w:spacing w:line="360" w:lineRule="auto"/>
        <w:ind w:firstLine="880"/>
        <w:jc w:val="center"/>
        <w:rPr>
          <w:rStyle w:val="66"/>
          <w:rFonts w:hint="eastAsia" w:ascii="方正仿宋_GBK" w:hAnsi="宋体" w:eastAsia="方正仿宋_GBK" w:cs="宋体"/>
          <w:b/>
          <w:color w:val="000000" w:themeColor="text1"/>
          <w:sz w:val="52"/>
          <w:szCs w:val="52"/>
          <w14:textFill>
            <w14:solidFill>
              <w14:schemeClr w14:val="tx1"/>
            </w14:solidFill>
          </w14:textFill>
        </w:rPr>
      </w:pPr>
      <w:r>
        <w:rPr>
          <w:rFonts w:hint="eastAsia" w:ascii="方正仿宋_GBK" w:hAnsi="宋体" w:eastAsia="方正仿宋_GBK" w:cs="宋体"/>
          <w:b/>
          <w:bCs/>
          <w:color w:val="000000" w:themeColor="text1"/>
          <w:sz w:val="44"/>
          <w:szCs w:val="44"/>
          <w14:textFill>
            <w14:solidFill>
              <w14:schemeClr w14:val="tx1"/>
            </w14:solidFill>
          </w14:textFill>
        </w:rPr>
        <w:t>二车间绞肉机及配套设备采购项目</w:t>
      </w:r>
    </w:p>
    <w:p w14:paraId="5F478E9B">
      <w:pPr>
        <w:tabs>
          <w:tab w:val="left" w:pos="3600"/>
          <w:tab w:val="left" w:pos="4480"/>
          <w:tab w:val="left" w:pos="5360"/>
        </w:tabs>
        <w:spacing w:line="360" w:lineRule="auto"/>
        <w:ind w:firstLine="1040"/>
        <w:jc w:val="center"/>
        <w:rPr>
          <w:rStyle w:val="66"/>
          <w:rFonts w:hint="eastAsia" w:ascii="方正仿宋_GBK" w:hAnsi="宋体" w:eastAsia="方正仿宋_GBK" w:cs="宋体"/>
          <w:b/>
          <w:color w:val="000000" w:themeColor="text1"/>
          <w:sz w:val="52"/>
          <w:szCs w:val="52"/>
          <w14:textFill>
            <w14:solidFill>
              <w14:schemeClr w14:val="tx1"/>
            </w14:solidFill>
          </w14:textFill>
        </w:rPr>
      </w:pPr>
    </w:p>
    <w:p w14:paraId="5736B04A">
      <w:pPr>
        <w:tabs>
          <w:tab w:val="left" w:pos="3600"/>
          <w:tab w:val="left" w:pos="4480"/>
          <w:tab w:val="left" w:pos="5360"/>
        </w:tabs>
        <w:spacing w:line="360" w:lineRule="auto"/>
        <w:ind w:firstLine="0" w:firstLineChars="0"/>
        <w:jc w:val="center"/>
        <w:rPr>
          <w:rStyle w:val="66"/>
          <w:rFonts w:hint="eastAsia" w:ascii="方正仿宋_GBK" w:hAnsi="宋体" w:eastAsia="方正仿宋_GBK" w:cs="宋体"/>
          <w:b/>
          <w:color w:val="000000" w:themeColor="text1"/>
          <w:sz w:val="84"/>
          <w:szCs w:val="84"/>
          <w14:textFill>
            <w14:solidFill>
              <w14:schemeClr w14:val="tx1"/>
            </w14:solidFill>
          </w14:textFill>
        </w:rPr>
      </w:pPr>
      <w:r>
        <w:rPr>
          <w:rStyle w:val="66"/>
          <w:rFonts w:hint="eastAsia" w:ascii="方正仿宋_GBK" w:hAnsi="宋体" w:eastAsia="方正仿宋_GBK" w:cs="宋体"/>
          <w:b/>
          <w:color w:val="000000" w:themeColor="text1"/>
          <w:sz w:val="84"/>
          <w:szCs w:val="84"/>
          <w14:textFill>
            <w14:solidFill>
              <w14:schemeClr w14:val="tx1"/>
            </w14:solidFill>
          </w14:textFill>
        </w:rPr>
        <w:t>资  格  文  件</w:t>
      </w:r>
    </w:p>
    <w:p w14:paraId="6815FADF">
      <w:pPr>
        <w:spacing w:line="360" w:lineRule="auto"/>
        <w:ind w:firstLine="320"/>
        <w:jc w:val="left"/>
        <w:rPr>
          <w:rStyle w:val="66"/>
          <w:rFonts w:hint="eastAsia" w:ascii="方正仿宋_GBK" w:hAnsi="宋体" w:eastAsia="方正仿宋_GBK" w:cs="宋体"/>
          <w:color w:val="000000" w:themeColor="text1"/>
          <w:sz w:val="16"/>
          <w:szCs w:val="16"/>
          <w14:textFill>
            <w14:solidFill>
              <w14:schemeClr w14:val="tx1"/>
            </w14:solidFill>
          </w14:textFill>
        </w:rPr>
      </w:pPr>
    </w:p>
    <w:p w14:paraId="2E461DBF">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52EFEEF8">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59AF7DFA">
      <w:pPr>
        <w:spacing w:line="360" w:lineRule="auto"/>
        <w:ind w:firstLine="400"/>
        <w:jc w:val="left"/>
        <w:rPr>
          <w:rStyle w:val="66"/>
          <w:rFonts w:hint="eastAsia" w:ascii="方正仿宋_GBK" w:hAnsi="宋体" w:eastAsia="方正仿宋_GBK" w:cs="宋体"/>
          <w:b/>
          <w:color w:val="000000" w:themeColor="text1"/>
          <w:sz w:val="20"/>
          <w14:textFill>
            <w14:solidFill>
              <w14:schemeClr w14:val="tx1"/>
            </w14:solidFill>
          </w14:textFill>
        </w:rPr>
      </w:pPr>
    </w:p>
    <w:p w14:paraId="3C80D083">
      <w:pPr>
        <w:tabs>
          <w:tab w:val="left" w:pos="6080"/>
          <w:tab w:val="left" w:pos="6640"/>
        </w:tabs>
        <w:spacing w:line="360" w:lineRule="auto"/>
        <w:ind w:firstLine="714" w:firstLineChars="300"/>
        <w:rPr>
          <w:rStyle w:val="66"/>
          <w:rFonts w:hint="eastAsia" w:ascii="方正仿宋_GBK" w:hAnsi="宋体" w:eastAsia="方正仿宋_GBK" w:cs="宋体"/>
          <w:b/>
          <w:color w:val="000000" w:themeColor="text1"/>
          <w:w w:val="99"/>
          <w:szCs w:val="24"/>
          <w14:textFill>
            <w14:solidFill>
              <w14:schemeClr w14:val="tx1"/>
            </w14:solidFill>
          </w14:textFill>
        </w:rPr>
      </w:pPr>
    </w:p>
    <w:p w14:paraId="34CC129F">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14:textFill>
            <w14:solidFill>
              <w14:schemeClr w14:val="tx1"/>
            </w14:solidFill>
          </w14:textFill>
        </w:rPr>
      </w:pPr>
    </w:p>
    <w:p w14:paraId="13F34038">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14:textFill>
            <w14:solidFill>
              <w14:schemeClr w14:val="tx1"/>
            </w14:solidFill>
          </w14:textFill>
        </w:rPr>
      </w:pPr>
    </w:p>
    <w:p w14:paraId="75F371BE">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u w:val="single"/>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项目编号：</w:t>
      </w:r>
    </w:p>
    <w:p w14:paraId="175F7838">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w w:val="99"/>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竞价人</w:t>
      </w:r>
      <w:r>
        <w:rPr>
          <w:rStyle w:val="66"/>
          <w:rFonts w:hint="eastAsia" w:ascii="方正仿宋_GBK" w:hAnsi="宋体" w:eastAsia="方正仿宋_GBK" w:cs="宋体"/>
          <w:b/>
          <w:color w:val="000000" w:themeColor="text1"/>
          <w:spacing w:val="1"/>
          <w:w w:val="99"/>
          <w:sz w:val="28"/>
          <w:szCs w:val="28"/>
          <w14:textFill>
            <w14:solidFill>
              <w14:schemeClr w14:val="tx1"/>
            </w14:solidFill>
          </w14:textFill>
        </w:rPr>
        <w:t>：</w:t>
      </w:r>
      <w:r>
        <w:rPr>
          <w:rStyle w:val="66"/>
          <w:rFonts w:hint="eastAsia" w:ascii="方正仿宋_GBK" w:hAnsi="宋体" w:eastAsia="方正仿宋_GBK" w:cs="宋体"/>
          <w:b/>
          <w:color w:val="000000" w:themeColor="text1"/>
          <w:w w:val="198"/>
          <w:sz w:val="28"/>
          <w:szCs w:val="28"/>
          <w:u w:val="single"/>
          <w14:textFill>
            <w14:solidFill>
              <w14:schemeClr w14:val="tx1"/>
            </w14:solidFill>
          </w14:textFill>
        </w:rPr>
        <w:t xml:space="preserve"> 　　　　 　     　</w:t>
      </w:r>
      <w:r>
        <w:rPr>
          <w:rStyle w:val="66"/>
          <w:rFonts w:hint="eastAsia" w:ascii="方正仿宋_GBK" w:hAnsi="宋体" w:eastAsia="方正仿宋_GBK" w:cs="宋体"/>
          <w:b/>
          <w:color w:val="000000" w:themeColor="text1"/>
          <w:w w:val="99"/>
          <w:sz w:val="28"/>
          <w:szCs w:val="28"/>
          <w14:textFill>
            <w14:solidFill>
              <w14:schemeClr w14:val="tx1"/>
            </w14:solidFill>
          </w14:textFill>
        </w:rPr>
        <w:t>（盖单位公章）</w:t>
      </w:r>
    </w:p>
    <w:p w14:paraId="4493A8ED">
      <w:pPr>
        <w:tabs>
          <w:tab w:val="left" w:pos="6080"/>
          <w:tab w:val="left" w:pos="6640"/>
        </w:tabs>
        <w:spacing w:line="360" w:lineRule="auto"/>
        <w:ind w:firstLine="545" w:firstLineChars="196"/>
        <w:rPr>
          <w:rStyle w:val="66"/>
          <w:rFonts w:hint="eastAsia" w:ascii="方正仿宋_GBK" w:hAnsi="宋体" w:eastAsia="方正仿宋_GBK" w:cs="宋体"/>
          <w:b/>
          <w:color w:val="000000" w:themeColor="text1"/>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法定代表人或其委托代理人：</w:t>
      </w:r>
      <w:r>
        <w:rPr>
          <w:rStyle w:val="66"/>
          <w:rFonts w:hint="eastAsia" w:ascii="方正仿宋_GBK" w:hAnsi="宋体" w:eastAsia="方正仿宋_GBK" w:cs="宋体"/>
          <w:b/>
          <w:color w:val="000000" w:themeColor="text1"/>
          <w:w w:val="198"/>
          <w:sz w:val="28"/>
          <w:szCs w:val="28"/>
          <w:u w:val="single"/>
          <w14:textFill>
            <w14:solidFill>
              <w14:schemeClr w14:val="tx1"/>
            </w14:solidFill>
          </w14:textFill>
        </w:rPr>
        <w:t xml:space="preserve"> 　　     </w:t>
      </w:r>
      <w:r>
        <w:rPr>
          <w:rStyle w:val="66"/>
          <w:rFonts w:hint="eastAsia" w:ascii="方正仿宋_GBK" w:hAnsi="宋体" w:eastAsia="方正仿宋_GBK" w:cs="宋体"/>
          <w:b/>
          <w:color w:val="000000" w:themeColor="text1"/>
          <w:w w:val="99"/>
          <w:sz w:val="28"/>
          <w:szCs w:val="28"/>
          <w14:textFill>
            <w14:solidFill>
              <w14:schemeClr w14:val="tx1"/>
            </w14:solidFill>
          </w14:textFill>
        </w:rPr>
        <w:t>（签字或盖章）</w:t>
      </w:r>
    </w:p>
    <w:p w14:paraId="6FC468DB">
      <w:pPr>
        <w:spacing w:line="360" w:lineRule="auto"/>
        <w:ind w:firstLine="554"/>
        <w:jc w:val="center"/>
        <w:rPr>
          <w:rStyle w:val="66"/>
          <w:rFonts w:hint="eastAsia" w:ascii="方正仿宋_GBK" w:hAnsi="宋体" w:eastAsia="方正仿宋_GBK" w:cs="宋体"/>
          <w:b/>
          <w:color w:val="000000" w:themeColor="text1"/>
          <w:w w:val="99"/>
          <w:sz w:val="28"/>
          <w:szCs w:val="28"/>
          <w14:textFill>
            <w14:solidFill>
              <w14:schemeClr w14:val="tx1"/>
            </w14:solidFill>
          </w14:textFill>
        </w:rPr>
      </w:pPr>
      <w:r>
        <w:rPr>
          <w:rStyle w:val="66"/>
          <w:rFonts w:hint="eastAsia" w:ascii="方正仿宋_GBK" w:hAnsi="宋体" w:eastAsia="方正仿宋_GBK" w:cs="宋体"/>
          <w:b/>
          <w:color w:val="000000" w:themeColor="text1"/>
          <w:w w:val="99"/>
          <w:sz w:val="28"/>
          <w:szCs w:val="28"/>
          <w14:textFill>
            <w14:solidFill>
              <w14:schemeClr w14:val="tx1"/>
            </w14:solidFill>
          </w14:textFill>
        </w:rPr>
        <w:t>年  月  日</w:t>
      </w:r>
    </w:p>
    <w:p w14:paraId="5CF794D0">
      <w:pPr>
        <w:ind w:firstLine="0" w:firstLineChars="0"/>
        <w:jc w:val="center"/>
        <w:rPr>
          <w:rFonts w:hint="eastAsia" w:ascii="方正仿宋_GBK" w:hAnsi="宋体" w:eastAsia="方正仿宋_GBK" w:cs="宋体"/>
          <w:b/>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b/>
          <w:color w:val="000000" w:themeColor="text1"/>
          <w:sz w:val="32"/>
          <w:szCs w:val="32"/>
          <w14:textFill>
            <w14:solidFill>
              <w14:schemeClr w14:val="tx1"/>
            </w14:solidFill>
          </w14:textFill>
        </w:rPr>
        <w:t>目  录</w:t>
      </w:r>
    </w:p>
    <w:p w14:paraId="2114E82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（一）竞价人法人营业执照（副本）或事业单位法人证书（副本）或个体工商户营业执照或有效的自然人身份证明或社会团体法人登记证书（提供复印件）</w:t>
      </w:r>
    </w:p>
    <w:p w14:paraId="3A19D111">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（二）法定代表人身份证明书（格式）</w:t>
      </w:r>
    </w:p>
    <w:p w14:paraId="0B7650EC">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（三）法定代表人授权委托书（格式）</w:t>
      </w:r>
    </w:p>
    <w:p w14:paraId="550B15BF">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（四）基本资格条件承诺函（格式）</w:t>
      </w:r>
    </w:p>
    <w:p w14:paraId="254E1A14">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（五）</w:t>
      </w:r>
      <w:r>
        <w:rPr>
          <w:rFonts w:hint="eastAsia" w:ascii="方正仿宋_GBK" w:hAnsi="宋体" w:eastAsia="方正仿宋_GBK" w:cs="宋体"/>
          <w:color w:val="000000" w:themeColor="text1"/>
          <w:szCs w:val="22"/>
          <w14:textFill>
            <w14:solidFill>
              <w14:schemeClr w14:val="tx1"/>
            </w14:solidFill>
          </w14:textFill>
        </w:rPr>
        <w:t>特定资格条件证书或证明文件（如果有）</w:t>
      </w:r>
    </w:p>
    <w:p w14:paraId="404B350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w:t>
      </w:r>
    </w:p>
    <w:p w14:paraId="203D22A2">
      <w:pPr>
        <w:ind w:firstLine="480"/>
        <w:rPr>
          <w:rFonts w:hint="eastAsia" w:ascii="方正仿宋_GBK" w:hAnsi="宋体" w:eastAsia="方正仿宋_GBK" w:cs="宋体"/>
          <w:color w:val="000000" w:themeColor="text1"/>
          <w14:textFill>
            <w14:solidFill>
              <w14:schemeClr w14:val="tx1"/>
            </w14:solidFill>
          </w14:textFill>
        </w:rPr>
      </w:pPr>
    </w:p>
    <w:p w14:paraId="64666E53">
      <w:pPr>
        <w:ind w:firstLine="480"/>
        <w:rPr>
          <w:rFonts w:hint="eastAsia" w:ascii="方正仿宋_GBK" w:hAnsi="宋体" w:eastAsia="方正仿宋_GBK" w:cs="宋体"/>
          <w:color w:val="000000" w:themeColor="text1"/>
          <w14:textFill>
            <w14:solidFill>
              <w14:schemeClr w14:val="tx1"/>
            </w14:solidFill>
          </w14:textFill>
        </w:rPr>
      </w:pPr>
    </w:p>
    <w:p w14:paraId="48A35F50">
      <w:pPr>
        <w:ind w:firstLine="480"/>
        <w:rPr>
          <w:rFonts w:hint="eastAsia" w:ascii="方正仿宋_GBK" w:hAnsi="宋体" w:eastAsia="方正仿宋_GBK" w:cs="宋体"/>
          <w:color w:val="000000" w:themeColor="text1"/>
          <w14:textFill>
            <w14:solidFill>
              <w14:schemeClr w14:val="tx1"/>
            </w14:solidFill>
          </w14:textFill>
        </w:rPr>
      </w:pPr>
    </w:p>
    <w:p w14:paraId="3E8C4EE3">
      <w:pPr>
        <w:ind w:firstLine="480"/>
        <w:rPr>
          <w:rFonts w:hint="eastAsia" w:ascii="方正仿宋_GBK" w:hAnsi="宋体" w:eastAsia="方正仿宋_GBK" w:cs="宋体"/>
          <w:color w:val="000000" w:themeColor="text1"/>
          <w14:textFill>
            <w14:solidFill>
              <w14:schemeClr w14:val="tx1"/>
            </w14:solidFill>
          </w14:textFill>
        </w:rPr>
      </w:pPr>
    </w:p>
    <w:p w14:paraId="27BB379A">
      <w:pPr>
        <w:ind w:firstLine="480"/>
        <w:rPr>
          <w:rFonts w:hint="eastAsia" w:ascii="方正仿宋_GBK" w:hAnsi="宋体" w:eastAsia="方正仿宋_GBK" w:cs="宋体"/>
          <w:color w:val="000000" w:themeColor="text1"/>
          <w14:textFill>
            <w14:solidFill>
              <w14:schemeClr w14:val="tx1"/>
            </w14:solidFill>
          </w14:textFill>
        </w:rPr>
      </w:pPr>
    </w:p>
    <w:p w14:paraId="5450E051">
      <w:pPr>
        <w:ind w:firstLine="480"/>
        <w:rPr>
          <w:rFonts w:hint="eastAsia" w:ascii="方正仿宋_GBK" w:hAnsi="宋体" w:eastAsia="方正仿宋_GBK" w:cs="宋体"/>
          <w:color w:val="000000" w:themeColor="text1"/>
          <w14:textFill>
            <w14:solidFill>
              <w14:schemeClr w14:val="tx1"/>
            </w14:solidFill>
          </w14:textFill>
        </w:rPr>
      </w:pPr>
    </w:p>
    <w:p w14:paraId="3DBA674E">
      <w:pPr>
        <w:ind w:firstLine="480"/>
        <w:rPr>
          <w:rFonts w:hint="eastAsia" w:ascii="方正仿宋_GBK" w:hAnsi="宋体" w:eastAsia="方正仿宋_GBK" w:cs="宋体"/>
          <w:color w:val="000000" w:themeColor="text1"/>
          <w14:textFill>
            <w14:solidFill>
              <w14:schemeClr w14:val="tx1"/>
            </w14:solidFill>
          </w14:textFill>
        </w:rPr>
      </w:pPr>
    </w:p>
    <w:p w14:paraId="3319FA0C">
      <w:pPr>
        <w:ind w:firstLine="480"/>
        <w:rPr>
          <w:rFonts w:hint="eastAsia" w:ascii="方正仿宋_GBK" w:hAnsi="宋体" w:eastAsia="方正仿宋_GBK" w:cs="宋体"/>
          <w:color w:val="000000" w:themeColor="text1"/>
          <w14:textFill>
            <w14:solidFill>
              <w14:schemeClr w14:val="tx1"/>
            </w14:solidFill>
          </w14:textFill>
        </w:rPr>
      </w:pPr>
    </w:p>
    <w:p w14:paraId="069A689E">
      <w:pPr>
        <w:ind w:firstLine="480"/>
        <w:rPr>
          <w:rFonts w:hint="eastAsia" w:ascii="方正仿宋_GBK" w:hAnsi="宋体" w:eastAsia="方正仿宋_GBK" w:cs="宋体"/>
          <w:color w:val="000000" w:themeColor="text1"/>
          <w14:textFill>
            <w14:solidFill>
              <w14:schemeClr w14:val="tx1"/>
            </w14:solidFill>
          </w14:textFill>
        </w:rPr>
      </w:pPr>
    </w:p>
    <w:p w14:paraId="6CAC2919">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14:textFill>
            <w14:solidFill>
              <w14:schemeClr w14:val="tx1"/>
            </w14:solidFill>
          </w14:textFill>
        </w:rPr>
        <w:t>（一）竞价人法人营业执照（副本）或事业单位法人证书（副本）或个体工商户营业执照或有效的自然人身份证明或社会团体法人登记证书（提供复印件）</w:t>
      </w:r>
    </w:p>
    <w:p w14:paraId="23B18AA9">
      <w:pPr>
        <w:pStyle w:val="20"/>
        <w:ind w:firstLine="360"/>
        <w:jc w:val="center"/>
        <w:rPr>
          <w:rFonts w:hint="eastAsia" w:ascii="方正仿宋_GBK" w:hAnsi="宋体" w:eastAsia="方正仿宋_GBK" w:cs="宋体"/>
          <w:b/>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b/>
          <w:color w:val="000000" w:themeColor="text1"/>
          <w:sz w:val="32"/>
          <w:szCs w:val="32"/>
          <w14:textFill>
            <w14:solidFill>
              <w14:schemeClr w14:val="tx1"/>
            </w14:solidFill>
          </w14:textFill>
        </w:rPr>
        <w:t>（二）法定代表人身份证明书（格式）</w:t>
      </w:r>
    </w:p>
    <w:p w14:paraId="6D21427E">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招标项目名称：</w:t>
      </w:r>
    </w:p>
    <w:p w14:paraId="3000D875">
      <w:pPr>
        <w:ind w:firstLine="480"/>
        <w:rPr>
          <w:rFonts w:hint="eastAsia" w:ascii="方正仿宋_GBK" w:hAnsi="宋体" w:eastAsia="方正仿宋_GBK" w:cs="宋体"/>
          <w:color w:val="000000" w:themeColor="text1"/>
          <w14:textFill>
            <w14:solidFill>
              <w14:schemeClr w14:val="tx1"/>
            </w14:solidFill>
          </w14:textFill>
        </w:rPr>
      </w:pPr>
    </w:p>
    <w:p w14:paraId="2B7CBD92">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致：（比价人名称）</w:t>
      </w:r>
    </w:p>
    <w:p w14:paraId="6B81654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（法定代表人姓名）在（竞价人名称）任（职务名称）职务，是（竞价人名称）的法定代表人。</w:t>
      </w:r>
    </w:p>
    <w:p w14:paraId="5E181DF4">
      <w:pPr>
        <w:ind w:firstLine="480"/>
        <w:rPr>
          <w:rFonts w:hint="eastAsia" w:ascii="方正仿宋_GBK" w:hAnsi="宋体" w:eastAsia="方正仿宋_GBK" w:cs="宋体"/>
          <w:color w:val="000000" w:themeColor="text1"/>
          <w14:textFill>
            <w14:solidFill>
              <w14:schemeClr w14:val="tx1"/>
            </w14:solidFill>
          </w14:textFill>
        </w:rPr>
      </w:pPr>
    </w:p>
    <w:p w14:paraId="5E41F188">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特此证明。</w:t>
      </w:r>
    </w:p>
    <w:p w14:paraId="22DBCAB8">
      <w:pPr>
        <w:ind w:firstLine="0" w:firstLineChars="0"/>
        <w:rPr>
          <w:rFonts w:hint="eastAsia" w:ascii="方正仿宋_GBK" w:hAnsi="宋体" w:eastAsia="方正仿宋_GBK" w:cs="宋体"/>
          <w:color w:val="000000" w:themeColor="text1"/>
          <w:szCs w:val="22"/>
          <w14:textFill>
            <w14:solidFill>
              <w14:schemeClr w14:val="tx1"/>
            </w14:solidFill>
          </w14:textFill>
        </w:rPr>
      </w:pPr>
    </w:p>
    <w:p w14:paraId="64FCC64A">
      <w:pPr>
        <w:ind w:firstLine="0" w:firstLineChars="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（竞价人公章）</w:t>
      </w:r>
    </w:p>
    <w:p w14:paraId="504FEFBB">
      <w:pPr>
        <w:ind w:firstLine="480"/>
        <w:rPr>
          <w:rFonts w:hint="eastAsia" w:ascii="方正仿宋_GBK" w:hAnsi="宋体" w:eastAsia="方正仿宋_GBK" w:cs="宋体"/>
          <w:color w:val="000000" w:themeColor="text1"/>
          <w:szCs w:val="22"/>
          <w:lang w:val="zh-CN"/>
          <w14:textFill>
            <w14:solidFill>
              <w14:schemeClr w14:val="tx1"/>
            </w14:solidFill>
          </w14:textFill>
        </w:rPr>
      </w:pPr>
    </w:p>
    <w:p w14:paraId="25ACB386">
      <w:pPr>
        <w:wordWrap w:val="0"/>
        <w:ind w:firstLine="48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 xml:space="preserve">年   月   日       </w:t>
      </w:r>
    </w:p>
    <w:p w14:paraId="6D6FE64E">
      <w:pPr>
        <w:ind w:firstLine="480"/>
        <w:rPr>
          <w:rFonts w:hint="eastAsia" w:ascii="方正仿宋_GBK" w:hAnsi="宋体" w:eastAsia="方正仿宋_GBK" w:cs="宋体"/>
          <w:color w:val="000000" w:themeColor="text1"/>
          <w:szCs w:val="22"/>
          <w14:textFill>
            <w14:solidFill>
              <w14:schemeClr w14:val="tx1"/>
            </w14:solidFill>
          </w14:textFill>
        </w:rPr>
      </w:pPr>
    </w:p>
    <w:p w14:paraId="78E33B3D">
      <w:pPr>
        <w:pStyle w:val="20"/>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sz w:val="24"/>
          <w14:textFill>
            <w14:solidFill>
              <w14:schemeClr w14:val="tx1"/>
            </w14:solidFill>
          </w14:textFill>
        </w:rPr>
        <w:t>法定代表人电话：XXXXXXX</w:t>
      </w:r>
      <w:r>
        <w:rPr>
          <w:rFonts w:ascii="方正仿宋_GBK" w:hAnsi="宋体" w:eastAsia="方正仿宋_GBK" w:cs="宋体"/>
          <w:color w:val="000000" w:themeColor="text1"/>
          <w:sz w:val="24"/>
          <w14:textFill>
            <w14:solidFill>
              <w14:schemeClr w14:val="tx1"/>
            </w14:solidFill>
          </w14:textFill>
        </w:rPr>
        <w:t>XX</w:t>
      </w:r>
      <w:r>
        <w:rPr>
          <w:rFonts w:hint="eastAsia" w:ascii="方正仿宋_GBK" w:hAnsi="宋体" w:eastAsia="方正仿宋_GBK" w:cs="宋体"/>
          <w:color w:val="000000" w:themeColor="text1"/>
          <w:sz w:val="24"/>
          <w14:textFill>
            <w14:solidFill>
              <w14:schemeClr w14:val="tx1"/>
            </w14:solidFill>
          </w14:textFill>
        </w:rPr>
        <w:t xml:space="preserve">      电子邮箱：XXXXXXX@XXXXX</w:t>
      </w:r>
      <w:r>
        <w:rPr>
          <w:rFonts w:ascii="方正仿宋_GBK" w:hAnsi="宋体" w:eastAsia="方正仿宋_GBK" w:cs="宋体"/>
          <w:color w:val="000000" w:themeColor="text1"/>
          <w:sz w:val="24"/>
          <w14:textFill>
            <w14:solidFill>
              <w14:schemeClr w14:val="tx1"/>
            </w14:solidFill>
          </w14:textFill>
        </w:rPr>
        <w:t>X</w:t>
      </w:r>
      <w:r>
        <w:rPr>
          <w:rFonts w:hint="eastAsia" w:ascii="方正仿宋_GBK" w:hAnsi="宋体" w:eastAsia="方正仿宋_GBK" w:cs="宋体"/>
          <w:color w:val="000000" w:themeColor="text1"/>
          <w:sz w:val="24"/>
          <w14:textFill>
            <w14:solidFill>
              <w14:schemeClr w14:val="tx1"/>
            </w14:solidFill>
          </w14:textFill>
        </w:rPr>
        <w:t>（若授权他人办理并签署竞价文件的可不填写）</w:t>
      </w:r>
    </w:p>
    <w:p w14:paraId="40648B92">
      <w:pPr>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（附：法定代表人身份证复印件或扫描件）</w:t>
      </w:r>
    </w:p>
    <w:p w14:paraId="6C4B35FB">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ascii="方正仿宋_GBK" w:hAnsi="宋体" w:eastAsia="方正仿宋_GBK" w:cs="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194310</wp:posOffset>
                </wp:positionH>
                <wp:positionV relativeFrom="paragraph">
                  <wp:posOffset>90170</wp:posOffset>
                </wp:positionV>
                <wp:extent cx="5337810" cy="1962150"/>
                <wp:effectExtent l="6350" t="6350" r="8890" b="12700"/>
                <wp:wrapNone/>
                <wp:docPr id="1473880834" name="Quad Arrow 6"/>
                <wp:cNvGraphicFramePr/>
                <a:graphic xmlns:a="http://schemas.openxmlformats.org/drawingml/2006/main">
                  <a:graphicData uri="http://schemas.microsoft.com/office/word/2010/wordprocessingShape">
                    <wps:wsp>
                      <wps:cNvSpPr txBox="1">
                        <a:spLocks noChangeArrowheads="1"/>
                      </wps:cNvSpPr>
                      <wps:spPr bwMode="auto">
                        <a:xfrm>
                          <a:off x="0" y="0"/>
                          <a:ext cx="5337810" cy="1962150"/>
                        </a:xfrm>
                        <a:prstGeom prst="rect">
                          <a:avLst/>
                        </a:prstGeom>
                        <a:solidFill>
                          <a:srgbClr val="FFFFFF"/>
                        </a:solidFill>
                        <a:ln w="12700">
                          <a:solidFill>
                            <a:srgbClr val="000000"/>
                          </a:solidFill>
                          <a:prstDash val="sysDot"/>
                          <a:miter lim="800000"/>
                        </a:ln>
                        <a:effectLst/>
                      </wps:spPr>
                      <wps:txbx>
                        <w:txbxContent>
                          <w:p w14:paraId="3D5BE4F4">
                            <w:pPr>
                              <w:tabs>
                                <w:tab w:val="left" w:pos="6300"/>
                              </w:tabs>
                              <w:snapToGrid w:val="0"/>
                              <w:spacing w:line="500" w:lineRule="exact"/>
                              <w:ind w:right="480" w:firstLine="480"/>
                              <w:jc w:val="center"/>
                              <w:rPr>
                                <w:rFonts w:hint="eastAsia" w:ascii="方正仿宋_GBK" w:hAnsi="黑体" w:eastAsia="方正仿宋_GBK"/>
                                <w:bCs/>
                              </w:rPr>
                            </w:pPr>
                          </w:p>
                          <w:p w14:paraId="096B42E7">
                            <w:pPr>
                              <w:tabs>
                                <w:tab w:val="left" w:pos="6300"/>
                              </w:tabs>
                              <w:snapToGrid w:val="0"/>
                              <w:spacing w:line="500" w:lineRule="exact"/>
                              <w:ind w:right="480" w:firstLine="480"/>
                              <w:jc w:val="center"/>
                              <w:rPr>
                                <w:rFonts w:hint="eastAsia" w:ascii="方正仿宋_GBK" w:hAnsi="黑体" w:eastAsia="方正仿宋_GBK"/>
                                <w:bCs/>
                              </w:rPr>
                            </w:pPr>
                          </w:p>
                          <w:p w14:paraId="72F25EB9">
                            <w:pPr>
                              <w:tabs>
                                <w:tab w:val="left" w:pos="6300"/>
                              </w:tabs>
                              <w:snapToGrid w:val="0"/>
                              <w:spacing w:line="500" w:lineRule="exact"/>
                              <w:ind w:right="480" w:firstLine="480"/>
                              <w:jc w:val="center"/>
                              <w:rPr>
                                <w:rFonts w:hint="eastAsia" w:ascii="方正仿宋_GBK" w:hAnsi="黑体" w:eastAsia="方正仿宋_GBK"/>
                                <w:bCs/>
                              </w:rPr>
                            </w:pPr>
                            <w:r>
                              <w:rPr>
                                <w:rFonts w:hint="eastAsia" w:ascii="方正仿宋_GBK" w:hAnsi="黑体" w:eastAsia="方正仿宋_GBK"/>
                                <w:bCs/>
                              </w:rPr>
                              <w:t>法定代表人身份证复印件或扫描件（双面）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6" o:spid="_x0000_s1026" o:spt="202" type="#_x0000_t202" style="position:absolute;left:0pt;margin-left:15.3pt;margin-top:7.1pt;height:154.5pt;width:420.3pt;z-index:251661312;mso-width-relative:page;mso-height-relative:page;" fillcolor="#FFFFFF" filled="t" stroked="t" coordsize="21600,21600" o:gfxdata="UEsDBAoAAAAAAIdO4kAAAAAAAAAAAAAAAAAEAAAAZHJzL1BLAwQUAAAACACHTuJAZEduadYAAAAJ&#10;AQAADwAAAGRycy9kb3ducmV2LnhtbE2PzU7DMBCE70i8g7VI3KidBEqVxumhCE5wIPgB3GSJU+J1&#10;FLs/9OlZTnDb3RnNflNtzn4UR5zjEEhDtlAgkNrQDdRrMB/PdysQMVnq7BgINXxjhE19fVXZsgsn&#10;esdjk3rBIRRLq8GlNJVSxtaht3ERJiTWPsPsbeJ17mU32xOH+1HmSi2ltwPxB2cn3Dpsv5qD1xDM&#10;Rb61r6bwzX6rXszDkzPuovXtTabWIBKe058ZfvEZHWpm2oUDdVGMGgq1ZCff73MQrK8eMx52LORF&#10;DrKu5P8G9Q9QSwMEFAAAAAgAh07iQN5RHc9PAgAAuwQAAA4AAABkcnMvZTJvRG9jLnhtbK1UzW7b&#10;MAy+D9g7CLqvtpO0SY06RZcgw4DuD90egJHlWJgsapISO3v6UXLaBd0G9DAfBFEkP5IfSd/cDp1m&#10;B+m8QlPx4iLnTBqBtTK7in/7unmz4MwHMDVoNLLiR+n57fL1q5velnKCLepaOkYgxpe9rXgbgi2z&#10;zItWduAv0EpDygZdB4FEt8tqBz2hdzqb5PlV1qOrrUMhvafX9ajkJ0T3EkBsGiXkGsW+kyaMqE5q&#10;CFSSb5X1fJmybRopwqem8TIwXXGqNKSTgtB9G89seQPlzoFtlTilAC9J4VlNHShDQZ+g1hCA7Z36&#10;A6pTwqHHJlwI7LKxkMQIVVHkz7h5aMHKVAtR7e0T6f7/wYqPh8+OqZomYTafLhb5YjrjzEBHnf+y&#10;h5rdOYc9u4pE9daXZP9gySMMb3Egp1S0t/covntmcNWC2cnk00qoKdEiemZnriOOjyDb/gPWFAj2&#10;ARPQ0Lguski8MEKnJh2fmiSHwAQ9Xk6n80VBKkG64vpqUlymNmZQPrpb58M7iR2Ll4o7moIED4d7&#10;H2I6UD6axGgetao3SuskuN12pR07AE3MJn2pgmdm2rCewk/meT5S8E+MPH1/w4g5rMG3Yyx/9GsM&#10;0Q7KTgXaMa26ii/O3bWJWpnm+lRKZDaSOdIahu1w6tQW6yNx7HCcedp4urTofnLW07xX3P/Yg5Oc&#10;6feG+nRdzGZxQZIwu5xPSHDnmu25BowgqIoHzsbrKoxLtbdO7VqKNE6GwTvqbaMS6zHVMavTRNBM&#10;p2ac9i8uzbmcrH7/c5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RHbmnWAAAACQEAAA8AAAAA&#10;AAAAAQAgAAAAIgAAAGRycy9kb3ducmV2LnhtbFBLAQIUABQAAAAIAIdO4kDeUR3PTwIAALsEAAAO&#10;AAAAAAAAAAEAIAAAACUBAABkcnMvZTJvRG9jLnhtbFBLBQYAAAAABgAGAFkBAADmBQAAAAA=&#10;">
                <v:fill on="t" focussize="0,0"/>
                <v:stroke weight="1pt" color="#000000" miterlimit="8" joinstyle="miter" dashstyle="1 1"/>
                <v:imagedata o:title=""/>
                <o:lock v:ext="edit" aspectratio="f"/>
                <v:textbox>
                  <w:txbxContent>
                    <w:p w14:paraId="3D5BE4F4">
                      <w:pPr>
                        <w:tabs>
                          <w:tab w:val="left" w:pos="6300"/>
                        </w:tabs>
                        <w:snapToGrid w:val="0"/>
                        <w:spacing w:line="500" w:lineRule="exact"/>
                        <w:ind w:right="480" w:firstLine="480"/>
                        <w:jc w:val="center"/>
                        <w:rPr>
                          <w:rFonts w:hint="eastAsia" w:ascii="方正仿宋_GBK" w:hAnsi="黑体" w:eastAsia="方正仿宋_GBK"/>
                          <w:bCs/>
                        </w:rPr>
                      </w:pPr>
                    </w:p>
                    <w:p w14:paraId="096B42E7">
                      <w:pPr>
                        <w:tabs>
                          <w:tab w:val="left" w:pos="6300"/>
                        </w:tabs>
                        <w:snapToGrid w:val="0"/>
                        <w:spacing w:line="500" w:lineRule="exact"/>
                        <w:ind w:right="480" w:firstLine="480"/>
                        <w:jc w:val="center"/>
                        <w:rPr>
                          <w:rFonts w:hint="eastAsia" w:ascii="方正仿宋_GBK" w:hAnsi="黑体" w:eastAsia="方正仿宋_GBK"/>
                          <w:bCs/>
                        </w:rPr>
                      </w:pPr>
                    </w:p>
                    <w:p w14:paraId="72F25EB9">
                      <w:pPr>
                        <w:tabs>
                          <w:tab w:val="left" w:pos="6300"/>
                        </w:tabs>
                        <w:snapToGrid w:val="0"/>
                        <w:spacing w:line="500" w:lineRule="exact"/>
                        <w:ind w:right="480" w:firstLine="480"/>
                        <w:jc w:val="center"/>
                        <w:rPr>
                          <w:rFonts w:hint="eastAsia" w:ascii="方正仿宋_GBK" w:hAnsi="黑体" w:eastAsia="方正仿宋_GBK"/>
                          <w:bCs/>
                        </w:rPr>
                      </w:pPr>
                      <w:r>
                        <w:rPr>
                          <w:rFonts w:hint="eastAsia" w:ascii="方正仿宋_GBK" w:hAnsi="黑体" w:eastAsia="方正仿宋_GBK"/>
                          <w:bCs/>
                        </w:rPr>
                        <w:t>法定代表人身份证复印件或扫描件（双面）</w:t>
                      </w:r>
                    </w:p>
                  </w:txbxContent>
                </v:textbox>
              </v:shape>
            </w:pict>
          </mc:Fallback>
        </mc:AlternateContent>
      </w:r>
    </w:p>
    <w:p w14:paraId="1C62C523">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1431995F">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4DD59A31">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16892AFC">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2742CF94">
      <w:pPr>
        <w:ind w:firstLine="0" w:firstLineChars="0"/>
        <w:rPr>
          <w:rFonts w:hint="eastAsia" w:ascii="方正仿宋_GBK" w:hAnsi="宋体" w:eastAsia="方正仿宋_GBK" w:cs="宋体"/>
          <w:color w:val="000000" w:themeColor="text1"/>
          <w:szCs w:val="28"/>
          <w14:textFill>
            <w14:solidFill>
              <w14:schemeClr w14:val="tx1"/>
            </w14:solidFill>
          </w14:textFill>
        </w:rPr>
      </w:pPr>
    </w:p>
    <w:p w14:paraId="492225ED">
      <w:pPr>
        <w:pStyle w:val="20"/>
        <w:ind w:firstLine="360"/>
        <w:jc w:val="center"/>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b/>
          <w:color w:val="000000" w:themeColor="text1"/>
          <w:sz w:val="32"/>
          <w:szCs w:val="32"/>
          <w14:textFill>
            <w14:solidFill>
              <w14:schemeClr w14:val="tx1"/>
            </w14:solidFill>
          </w14:textFill>
        </w:rPr>
        <w:t>（三）法定代表人授权委托书（格式）</w:t>
      </w:r>
    </w:p>
    <w:p w14:paraId="3E15C1AD">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项目名称：</w:t>
      </w:r>
    </w:p>
    <w:p w14:paraId="63B3D5C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致：（比价人名称）</w:t>
      </w:r>
    </w:p>
    <w:p w14:paraId="051C00AB">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（竞价人法定代表人名称）是（竞价人名称）的法定代表人，特授权（被授权人姓名及身份证代码）代表我单位全权办理上述项目的竞价、谈判、签约等具体工作，并签署全部有关文件、协议及合同。</w:t>
      </w:r>
    </w:p>
    <w:p w14:paraId="1E525266">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我单位对被授权人的签署负全部责任。</w:t>
      </w:r>
    </w:p>
    <w:p w14:paraId="572FE852">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在撤消授权的书面通知以前，本授权书一直有效。被授权人在授权书有效期内签署的所有文件不因授权的撤消而失效。</w:t>
      </w:r>
    </w:p>
    <w:p w14:paraId="63F086C0">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被授权人：                                竞价人法定代表人：</w:t>
      </w:r>
    </w:p>
    <w:p w14:paraId="1D6E6259">
      <w:pPr>
        <w:ind w:firstLine="480"/>
        <w:rPr>
          <w:rFonts w:hint="eastAsia" w:ascii="方正仿宋_GBK" w:hAnsi="宋体" w:eastAsia="方正仿宋_GBK" w:cs="宋体"/>
          <w:color w:val="000000" w:themeColor="text1"/>
          <w:szCs w:val="22"/>
          <w:lang w:val="zh-CN"/>
          <w14:textFill>
            <w14:solidFill>
              <w14:schemeClr w14:val="tx1"/>
            </w14:solidFill>
          </w14:textFill>
        </w:rPr>
      </w:pPr>
      <w:r>
        <w:rPr>
          <w:rFonts w:hint="eastAsia" w:ascii="方正仿宋_GBK" w:hAnsi="宋体" w:eastAsia="方正仿宋_GBK" w:cs="宋体"/>
          <w:color w:val="000000" w:themeColor="text1"/>
          <w:szCs w:val="22"/>
          <w:lang w:val="zh-CN"/>
          <w14:textFill>
            <w14:solidFill>
              <w14:schemeClr w14:val="tx1"/>
            </w14:solidFill>
          </w14:textFill>
        </w:rPr>
        <w:t>（签署或盖章）                                （签署或盖章）</w:t>
      </w:r>
    </w:p>
    <w:p w14:paraId="2EBFA7B5">
      <w:pPr>
        <w:pStyle w:val="20"/>
        <w:ind w:firstLine="360"/>
        <w:rPr>
          <w:rFonts w:hint="eastAsia" w:ascii="方正仿宋_GBK" w:hAnsi="宋体" w:eastAsia="方正仿宋_GBK" w:cs="宋体"/>
          <w:color w:val="000000" w:themeColor="text1"/>
          <w:lang w:val="zh-CN"/>
          <w14:textFill>
            <w14:solidFill>
              <w14:schemeClr w14:val="tx1"/>
            </w14:solidFill>
          </w14:textFill>
        </w:rPr>
      </w:pPr>
    </w:p>
    <w:p w14:paraId="09918726">
      <w:pPr>
        <w:ind w:firstLine="0" w:firstLineChars="0"/>
        <w:jc w:val="right"/>
        <w:rPr>
          <w:rFonts w:hint="eastAsia" w:ascii="方正仿宋_GBK" w:hAnsi="宋体" w:eastAsia="方正仿宋_GBK" w:cs="宋体"/>
          <w:color w:val="000000" w:themeColor="text1"/>
          <w:szCs w:val="22"/>
          <w:lang w:val="zh-CN"/>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（竞价人公章）</w:t>
      </w:r>
    </w:p>
    <w:p w14:paraId="2EFA7FB8">
      <w:pPr>
        <w:wordWrap w:val="0"/>
        <w:ind w:firstLine="480"/>
        <w:jc w:val="right"/>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年   月   日</w:t>
      </w:r>
    </w:p>
    <w:p w14:paraId="5B027130">
      <w:pPr>
        <w:pStyle w:val="20"/>
        <w:ind w:firstLine="360"/>
        <w:rPr>
          <w:rFonts w:hint="eastAsia" w:ascii="方正仿宋_GBK" w:hAnsi="宋体" w:eastAsia="方正仿宋_GBK" w:cs="宋体"/>
          <w:color w:val="000000" w:themeColor="text1"/>
          <w14:textFill>
            <w14:solidFill>
              <w14:schemeClr w14:val="tx1"/>
            </w14:solidFill>
          </w14:textFill>
        </w:rPr>
      </w:pPr>
    </w:p>
    <w:p w14:paraId="07BD12E3">
      <w:pPr>
        <w:pStyle w:val="20"/>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sz w:val="24"/>
          <w14:textFill>
            <w14:solidFill>
              <w14:schemeClr w14:val="tx1"/>
            </w14:solidFill>
          </w14:textFill>
        </w:rPr>
        <w:t>被授权人电话：XXXXXXX</w:t>
      </w:r>
      <w:r>
        <w:rPr>
          <w:rFonts w:ascii="方正仿宋_GBK" w:hAnsi="宋体" w:eastAsia="方正仿宋_GBK" w:cs="宋体"/>
          <w:color w:val="000000" w:themeColor="text1"/>
          <w:sz w:val="24"/>
          <w14:textFill>
            <w14:solidFill>
              <w14:schemeClr w14:val="tx1"/>
            </w14:solidFill>
          </w14:textFill>
        </w:rPr>
        <w:t>XX</w:t>
      </w:r>
      <w:r>
        <w:rPr>
          <w:rFonts w:hint="eastAsia" w:ascii="方正仿宋_GBK" w:hAnsi="宋体" w:eastAsia="方正仿宋_GBK" w:cs="宋体"/>
          <w:color w:val="000000" w:themeColor="text1"/>
          <w:sz w:val="24"/>
          <w14:textFill>
            <w14:solidFill>
              <w14:schemeClr w14:val="tx1"/>
            </w14:solidFill>
          </w14:textFill>
        </w:rPr>
        <w:t xml:space="preserve">     电子邮箱：XXXXXXX@XXXXX</w:t>
      </w:r>
      <w:r>
        <w:rPr>
          <w:rFonts w:ascii="方正仿宋_GBK" w:hAnsi="宋体" w:eastAsia="方正仿宋_GBK" w:cs="宋体"/>
          <w:color w:val="000000" w:themeColor="text1"/>
          <w:sz w:val="24"/>
          <w14:textFill>
            <w14:solidFill>
              <w14:schemeClr w14:val="tx1"/>
            </w14:solidFill>
          </w14:textFill>
        </w:rPr>
        <w:t>X</w:t>
      </w:r>
      <w:r>
        <w:rPr>
          <w:rFonts w:hint="eastAsia" w:ascii="方正仿宋_GBK" w:hAnsi="宋体" w:eastAsia="方正仿宋_GBK" w:cs="宋体"/>
          <w:color w:val="000000" w:themeColor="text1"/>
          <w:sz w:val="24"/>
          <w14:textFill>
            <w14:solidFill>
              <w14:schemeClr w14:val="tx1"/>
            </w14:solidFill>
          </w14:textFill>
        </w:rPr>
        <w:t>（若法定代表人办理并签署竞价文件的可不填写）</w:t>
      </w:r>
    </w:p>
    <w:p w14:paraId="7B8A36C6">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（附：被授权人身份证复印件或扫描件）</w:t>
      </w:r>
    </w:p>
    <w:p w14:paraId="00643F7F">
      <w:pPr>
        <w:ind w:firstLine="480"/>
        <w:rPr>
          <w:rFonts w:hint="eastAsia" w:ascii="方正仿宋_GBK" w:hAnsi="宋体" w:eastAsia="方正仿宋_GBK" w:cs="宋体"/>
          <w:color w:val="000000" w:themeColor="text1"/>
          <w14:textFill>
            <w14:solidFill>
              <w14:schemeClr w14:val="tx1"/>
            </w14:solidFill>
          </w14:textFill>
        </w:rPr>
      </w:pPr>
      <w:r>
        <w:rPr>
          <w:rFonts w:ascii="方正仿宋_GBK" w:hAnsi="宋体" w:eastAsia="方正仿宋_GBK" w:cs="宋体"/>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256540</wp:posOffset>
                </wp:positionH>
                <wp:positionV relativeFrom="paragraph">
                  <wp:posOffset>81915</wp:posOffset>
                </wp:positionV>
                <wp:extent cx="5125085" cy="1962150"/>
                <wp:effectExtent l="6350" t="6350" r="12065" b="12700"/>
                <wp:wrapNone/>
                <wp:docPr id="1002141768" name="Quad Arrow 7"/>
                <wp:cNvGraphicFramePr/>
                <a:graphic xmlns:a="http://schemas.openxmlformats.org/drawingml/2006/main">
                  <a:graphicData uri="http://schemas.microsoft.com/office/word/2010/wordprocessingShape">
                    <wps:wsp>
                      <wps:cNvSpPr txBox="1">
                        <a:spLocks noChangeArrowheads="1"/>
                      </wps:cNvSpPr>
                      <wps:spPr bwMode="auto">
                        <a:xfrm>
                          <a:off x="0" y="0"/>
                          <a:ext cx="5125085" cy="1962150"/>
                        </a:xfrm>
                        <a:prstGeom prst="rect">
                          <a:avLst/>
                        </a:prstGeom>
                        <a:solidFill>
                          <a:srgbClr val="FFFFFF"/>
                        </a:solidFill>
                        <a:ln w="12700">
                          <a:solidFill>
                            <a:srgbClr val="000000"/>
                          </a:solidFill>
                          <a:prstDash val="sysDot"/>
                          <a:miter lim="800000"/>
                        </a:ln>
                        <a:effectLst/>
                      </wps:spPr>
                      <wps:txbx>
                        <w:txbxContent>
                          <w:p w14:paraId="540D07F7">
                            <w:pPr>
                              <w:tabs>
                                <w:tab w:val="left" w:pos="6300"/>
                              </w:tabs>
                              <w:snapToGrid w:val="0"/>
                              <w:spacing w:line="500" w:lineRule="exact"/>
                              <w:ind w:right="480" w:firstLine="480"/>
                              <w:jc w:val="center"/>
                              <w:rPr>
                                <w:rFonts w:hint="eastAsia" w:ascii="方正仿宋_GBK" w:hAnsi="黑体" w:eastAsia="方正仿宋_GBK"/>
                                <w:bCs/>
                              </w:rPr>
                            </w:pPr>
                          </w:p>
                          <w:p w14:paraId="12F770E4">
                            <w:pPr>
                              <w:tabs>
                                <w:tab w:val="left" w:pos="6300"/>
                              </w:tabs>
                              <w:snapToGrid w:val="0"/>
                              <w:spacing w:line="500" w:lineRule="exact"/>
                              <w:ind w:right="480" w:firstLine="480"/>
                              <w:jc w:val="center"/>
                              <w:rPr>
                                <w:rFonts w:hint="eastAsia" w:ascii="方正仿宋_GBK" w:hAnsi="黑体" w:eastAsia="方正仿宋_GBK"/>
                                <w:bCs/>
                              </w:rPr>
                            </w:pPr>
                          </w:p>
                          <w:p w14:paraId="39B28C5B">
                            <w:pPr>
                              <w:tabs>
                                <w:tab w:val="left" w:pos="6300"/>
                              </w:tabs>
                              <w:snapToGrid w:val="0"/>
                              <w:spacing w:line="500" w:lineRule="exact"/>
                              <w:ind w:right="480" w:firstLine="480"/>
                              <w:jc w:val="center"/>
                              <w:rPr>
                                <w:rFonts w:hint="eastAsia" w:ascii="方正仿宋_GBK" w:hAnsi="黑体" w:eastAsia="方正仿宋_GBK"/>
                                <w:bCs/>
                              </w:rPr>
                            </w:pPr>
                            <w:r>
                              <w:rPr>
                                <w:rFonts w:hint="eastAsia" w:ascii="方正仿宋_GBK" w:hAnsi="黑体" w:eastAsia="方正仿宋_GBK"/>
                                <w:bCs/>
                              </w:rPr>
                              <w:t>被授权委托人身份证复印件或扫描件（双面）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7" o:spid="_x0000_s1026" o:spt="202" type="#_x0000_t202" style="position:absolute;left:0pt;margin-left:20.2pt;margin-top:6.45pt;height:154.5pt;width:403.55pt;z-index:251662336;mso-width-relative:page;mso-height-relative:page;" fillcolor="#FFFFFF" filled="t" stroked="t" coordsize="21600,21600" o:gfxdata="UEsDBAoAAAAAAIdO4kAAAAAAAAAAAAAAAAAEAAAAZHJzL1BLAwQUAAAACACHTuJAZV7KnNgAAAAJ&#10;AQAADwAAAGRycy9kb3ducmV2LnhtbE2PzU7DMBCE70i8g7VI3KidNIU2jdNDEZzg0OAHcOMlTonX&#10;Uez+0KfHnOA4O6OZb6vNxQ3shFPoPUnIZgIYUutNT50E9fHysAQWoiajB08o4RsDbOrbm0qXxp9p&#10;h6cmdiyVUCi1BBvjWHIeWotOh5kfkZL36SenY5JTx82kz6ncDTwX4pE73VNasHrErcX2qzk6CV5d&#10;+Xv7puauOWzFq1o8W2WvUt7fZWINLOIl/oXhFz+hQ52Y9v5IJrBBQiGKlEz3fAUs+cviaQFsL2Ge&#10;ZyvgdcX/f1D/AFBLAwQUAAAACACHTuJA0PTOYU4CAAC7BAAADgAAAGRycy9lMm9Eb2MueG1srVTb&#10;btswDH0fsH8Q9L76gqRpjTpFlyDDgO6Gbh/AyHIsTBY1SYmdff0oOe2CbgP6MD8Iokgekoekb27H&#10;XrODdF6hqXlxkXMmjcBGmV3Nv33dvLnizAcwDWg0suZH6fnt8vWrm8FWssQOdSMdIxDjq8HWvAvB&#10;VlnmRSd78BdopSFli66HQKLbZY2DgdB7nZV5fpkN6BrrUEjv6XU9KfkJ0b0EENtWCblGse+lCROq&#10;kxoCleQ7ZT1fpmzbVorwqW29DEzXnCoN6aQgdN/GM1veQLVzYDslTinAS1J4VlMPylDQJ6g1BGB7&#10;p/6A6pVw6LENFwL7bCokMUJVFPkzbh46sDLVQlR7+0S6/3+w4uPhs2OqoUnI87KYFYtL6r+Bnjr/&#10;ZQ8Nu3MOB7aIRA3WV2T/YMkjjG9xJKdUtLf3KL57ZnDVgdnJ5NNJaCjRInpmZ64Tjo8g2+EDNhQI&#10;9gET0Ni6PrJIvDBCpyYdn5okx8AEPc6Lcp5fzTkTpCuuL8tintqYQfXobp0P7yT2LF5q7mgKEjwc&#10;7n2I6UD1aBKjedSq2Sitk+B225V27AA0MZv0pQqemWnDBgpfLvJ8ouCfGHn6/oYRc1iD76ZY/ujX&#10;GKIdVL0KtGNa9TW/OnfXJmplmutTKZHZSOZEaxi346lTW2yOxLHDaeZp4+nSofvJ2UDzXnP/Yw9O&#10;cqbfG+rTdTGbxQVJwmy+KElw55rtuQaMIKiaB86m6ypMS7W3Tu06ijRNhsE76m2rEusx1Smr00TQ&#10;TKdmnPYvLs25nKx+/3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Xsqc2AAAAAkBAAAPAAAA&#10;AAAAAAEAIAAAACIAAABkcnMvZG93bnJldi54bWxQSwECFAAUAAAACACHTuJA0PTOYU4CAAC7BAAA&#10;DgAAAAAAAAABACAAAAAnAQAAZHJzL2Uyb0RvYy54bWxQSwUGAAAAAAYABgBZAQAA5wUAAAAA&#10;">
                <v:fill on="t" focussize="0,0"/>
                <v:stroke weight="1pt" color="#000000" miterlimit="8" joinstyle="miter" dashstyle="1 1"/>
                <v:imagedata o:title=""/>
                <o:lock v:ext="edit" aspectratio="f"/>
                <v:textbox>
                  <w:txbxContent>
                    <w:p w14:paraId="540D07F7">
                      <w:pPr>
                        <w:tabs>
                          <w:tab w:val="left" w:pos="6300"/>
                        </w:tabs>
                        <w:snapToGrid w:val="0"/>
                        <w:spacing w:line="500" w:lineRule="exact"/>
                        <w:ind w:right="480" w:firstLine="480"/>
                        <w:jc w:val="center"/>
                        <w:rPr>
                          <w:rFonts w:hint="eastAsia" w:ascii="方正仿宋_GBK" w:hAnsi="黑体" w:eastAsia="方正仿宋_GBK"/>
                          <w:bCs/>
                        </w:rPr>
                      </w:pPr>
                    </w:p>
                    <w:p w14:paraId="12F770E4">
                      <w:pPr>
                        <w:tabs>
                          <w:tab w:val="left" w:pos="6300"/>
                        </w:tabs>
                        <w:snapToGrid w:val="0"/>
                        <w:spacing w:line="500" w:lineRule="exact"/>
                        <w:ind w:right="480" w:firstLine="480"/>
                        <w:jc w:val="center"/>
                        <w:rPr>
                          <w:rFonts w:hint="eastAsia" w:ascii="方正仿宋_GBK" w:hAnsi="黑体" w:eastAsia="方正仿宋_GBK"/>
                          <w:bCs/>
                        </w:rPr>
                      </w:pPr>
                    </w:p>
                    <w:p w14:paraId="39B28C5B">
                      <w:pPr>
                        <w:tabs>
                          <w:tab w:val="left" w:pos="6300"/>
                        </w:tabs>
                        <w:snapToGrid w:val="0"/>
                        <w:spacing w:line="500" w:lineRule="exact"/>
                        <w:ind w:right="480" w:firstLine="480"/>
                        <w:jc w:val="center"/>
                        <w:rPr>
                          <w:rFonts w:hint="eastAsia" w:ascii="方正仿宋_GBK" w:hAnsi="黑体" w:eastAsia="方正仿宋_GBK"/>
                          <w:bCs/>
                        </w:rPr>
                      </w:pPr>
                      <w:r>
                        <w:rPr>
                          <w:rFonts w:hint="eastAsia" w:ascii="方正仿宋_GBK" w:hAnsi="黑体" w:eastAsia="方正仿宋_GBK"/>
                          <w:bCs/>
                        </w:rPr>
                        <w:t>被授权委托人身份证复印件或扫描件（双面）</w:t>
                      </w:r>
                    </w:p>
                  </w:txbxContent>
                </v:textbox>
              </v:shape>
            </w:pict>
          </mc:Fallback>
        </mc:AlternateContent>
      </w:r>
    </w:p>
    <w:p w14:paraId="20E49E77">
      <w:pPr>
        <w:ind w:firstLine="480"/>
        <w:rPr>
          <w:rFonts w:hint="eastAsia" w:ascii="方正仿宋_GBK" w:hAnsi="宋体" w:eastAsia="方正仿宋_GBK" w:cs="宋体"/>
          <w:color w:val="000000" w:themeColor="text1"/>
          <w14:textFill>
            <w14:solidFill>
              <w14:schemeClr w14:val="tx1"/>
            </w14:solidFill>
          </w14:textFill>
        </w:rPr>
      </w:pPr>
    </w:p>
    <w:p w14:paraId="7D9FFEF7">
      <w:pPr>
        <w:ind w:firstLine="480"/>
        <w:rPr>
          <w:rFonts w:hint="eastAsia" w:ascii="方正仿宋_GBK" w:hAnsi="宋体" w:eastAsia="方正仿宋_GBK" w:cs="宋体"/>
          <w:color w:val="000000" w:themeColor="text1"/>
          <w14:textFill>
            <w14:solidFill>
              <w14:schemeClr w14:val="tx1"/>
            </w14:solidFill>
          </w14:textFill>
        </w:rPr>
      </w:pPr>
    </w:p>
    <w:p w14:paraId="7E0539BF">
      <w:pPr>
        <w:ind w:firstLine="480"/>
        <w:rPr>
          <w:rFonts w:hint="eastAsia" w:ascii="方正仿宋_GBK" w:hAnsi="宋体" w:eastAsia="方正仿宋_GBK" w:cs="宋体"/>
          <w:color w:val="000000" w:themeColor="text1"/>
          <w14:textFill>
            <w14:solidFill>
              <w14:schemeClr w14:val="tx1"/>
            </w14:solidFill>
          </w14:textFill>
        </w:rPr>
      </w:pPr>
    </w:p>
    <w:p w14:paraId="29854382">
      <w:pPr>
        <w:ind w:firstLine="480"/>
        <w:rPr>
          <w:rFonts w:hint="eastAsia" w:ascii="方正仿宋_GBK" w:hAnsi="宋体" w:eastAsia="方正仿宋_GBK" w:cs="宋体"/>
          <w:color w:val="000000" w:themeColor="text1"/>
          <w14:textFill>
            <w14:solidFill>
              <w14:schemeClr w14:val="tx1"/>
            </w14:solidFill>
          </w14:textFill>
        </w:rPr>
      </w:pPr>
    </w:p>
    <w:p w14:paraId="787B9416">
      <w:pPr>
        <w:tabs>
          <w:tab w:val="left" w:pos="6300"/>
        </w:tabs>
        <w:snapToGrid w:val="0"/>
        <w:spacing w:line="500" w:lineRule="exact"/>
        <w:ind w:firstLine="480"/>
        <w:rPr>
          <w:rFonts w:hint="eastAsia" w:ascii="方正仿宋_GBK" w:hAnsi="宋体" w:eastAsia="方正仿宋_GBK" w:cs="宋体"/>
          <w:color w:val="000000" w:themeColor="text1"/>
          <w:szCs w:val="28"/>
          <w14:textFill>
            <w14:solidFill>
              <w14:schemeClr w14:val="tx1"/>
            </w14:solidFill>
          </w14:textFill>
        </w:rPr>
      </w:pPr>
    </w:p>
    <w:p w14:paraId="37ED033C">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注：1.若为法定代表人办理并签署竞价文件的，不提供此文件。</w:t>
      </w:r>
    </w:p>
    <w:p w14:paraId="1AA1D65D">
      <w:pPr>
        <w:pStyle w:val="12"/>
        <w:ind w:firstLine="440"/>
        <w:rPr>
          <w:rFonts w:hint="eastAsia" w:eastAsia="方正仿宋_GBK"/>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t>2.另外单独准备一份法定代表人身份证明书和法定代表人授权委托书原件在开标现场出具。</w:t>
      </w:r>
    </w:p>
    <w:p w14:paraId="4DA95ECA">
      <w:pPr>
        <w:spacing w:line="400" w:lineRule="exact"/>
        <w:ind w:firstLine="480"/>
        <w:rPr>
          <w:rFonts w:hint="eastAsia" w:ascii="方正仿宋_GBK" w:hAnsi="宋体" w:eastAsia="方正仿宋_GBK" w:cs="宋体"/>
          <w:color w:val="000000" w:themeColor="text1"/>
          <w:szCs w:val="28"/>
          <w14:textFill>
            <w14:solidFill>
              <w14:schemeClr w14:val="tx1"/>
            </w14:solidFill>
          </w14:textFill>
        </w:rPr>
      </w:pPr>
      <w:r>
        <w:rPr>
          <w:rFonts w:hint="eastAsia" w:ascii="方正仿宋_GBK" w:hAnsi="宋体" w:eastAsia="方正仿宋_GBK" w:cs="宋体"/>
          <w:color w:val="000000" w:themeColor="text1"/>
          <w:szCs w:val="28"/>
          <w14:textFill>
            <w14:solidFill>
              <w14:schemeClr w14:val="tx1"/>
            </w14:solidFill>
          </w14:textFill>
        </w:rPr>
        <w:br w:type="column"/>
      </w:r>
      <w:r>
        <w:rPr>
          <w:rFonts w:hint="eastAsia" w:ascii="方正仿宋_GBK" w:hAnsi="宋体" w:eastAsia="方正仿宋_GBK" w:cs="宋体"/>
          <w:color w:val="000000" w:themeColor="text1"/>
          <w:szCs w:val="28"/>
          <w14:textFill>
            <w14:solidFill>
              <w14:schemeClr w14:val="tx1"/>
            </w14:solidFill>
          </w14:textFill>
        </w:rPr>
        <w:t>（四）基本资格条件承诺函</w:t>
      </w:r>
    </w:p>
    <w:p w14:paraId="75A63D47">
      <w:pPr>
        <w:tabs>
          <w:tab w:val="left" w:pos="6300"/>
        </w:tabs>
        <w:snapToGrid w:val="0"/>
        <w:spacing w:line="500" w:lineRule="exact"/>
        <w:ind w:firstLine="600"/>
        <w:jc w:val="center"/>
        <w:rPr>
          <w:rFonts w:hint="eastAsia" w:ascii="方正仿宋_GBK" w:hAnsi="宋体" w:eastAsia="方正仿宋_GBK" w:cs="宋体"/>
          <w:b/>
          <w:bCs/>
          <w:color w:val="000000" w:themeColor="text1"/>
          <w:sz w:val="30"/>
          <w:szCs w:val="30"/>
          <w14:textFill>
            <w14:solidFill>
              <w14:schemeClr w14:val="tx1"/>
            </w14:solidFill>
          </w14:textFill>
        </w:rPr>
      </w:pPr>
      <w:r>
        <w:rPr>
          <w:rFonts w:hint="eastAsia" w:ascii="方正仿宋_GBK" w:hAnsi="宋体" w:eastAsia="方正仿宋_GBK" w:cs="宋体"/>
          <w:b/>
          <w:bCs/>
          <w:color w:val="000000" w:themeColor="text1"/>
          <w:sz w:val="30"/>
          <w:szCs w:val="30"/>
          <w14:textFill>
            <w14:solidFill>
              <w14:schemeClr w14:val="tx1"/>
            </w14:solidFill>
          </w14:textFill>
        </w:rPr>
        <w:t>基本资格条件承诺函</w:t>
      </w:r>
    </w:p>
    <w:p w14:paraId="0589BB17">
      <w:pPr>
        <w:tabs>
          <w:tab w:val="left" w:pos="6300"/>
        </w:tabs>
        <w:snapToGrid w:val="0"/>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致（比价人名称）：</w:t>
      </w:r>
    </w:p>
    <w:p w14:paraId="0FDB2339">
      <w:pPr>
        <w:tabs>
          <w:tab w:val="left" w:pos="6300"/>
        </w:tabs>
        <w:snapToGrid w:val="0"/>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（竞价人名称）郑重承诺：</w:t>
      </w:r>
    </w:p>
    <w:p w14:paraId="64E2E838">
      <w:pPr>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1.我方具有良好的商业信誉和健全的财务会计制度，具有履行合同所必需的设备和专业技术能力，具</w:t>
      </w:r>
      <w:r>
        <w:rPr>
          <w:rFonts w:hint="eastAsia" w:ascii="方正仿宋_GBK" w:eastAsia="方正仿宋_GBK" w:cs="仿宋_GB2312"/>
          <w:color w:val="000000" w:themeColor="text1"/>
          <w:szCs w:val="24"/>
          <w:lang w:val="zh-CN"/>
          <w14:textFill>
            <w14:solidFill>
              <w14:schemeClr w14:val="tx1"/>
            </w14:solidFill>
          </w14:textFill>
        </w:rPr>
        <w:t>有依法缴纳税收和社会保障金的良好记录</w:t>
      </w:r>
      <w:r>
        <w:rPr>
          <w:rFonts w:hint="eastAsia" w:ascii="方正仿宋_GBK" w:eastAsia="方正仿宋_GBK" w:cs="仿宋_GB2312"/>
          <w:color w:val="000000" w:themeColor="text1"/>
          <w:szCs w:val="24"/>
          <w14:textFill>
            <w14:solidFill>
              <w14:schemeClr w14:val="tx1"/>
            </w14:solidFill>
          </w14:textFill>
        </w:rPr>
        <w:t>，</w:t>
      </w:r>
      <w:r>
        <w:rPr>
          <w:rFonts w:hint="eastAsia" w:ascii="方正仿宋_GBK" w:eastAsia="方正仿宋_GBK"/>
          <w:color w:val="000000" w:themeColor="text1"/>
          <w:szCs w:val="24"/>
          <w14:textFill>
            <w14:solidFill>
              <w14:schemeClr w14:val="tx1"/>
            </w14:solidFill>
          </w14:textFill>
        </w:rPr>
        <w:t>参加本项目采购活动前三年内无重大违法活动记录。</w:t>
      </w:r>
    </w:p>
    <w:p w14:paraId="6FF3941E">
      <w:pPr>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E8632B0">
      <w:pPr>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3.我方在采购项目评审（评标）环节结束后，随时接受比价人的检查验证，配合提供相关证明材料，证明符合《中华人民共和国政府采购法》规定的竞价人基本资格条件。</w:t>
      </w:r>
    </w:p>
    <w:p w14:paraId="2D538A71">
      <w:pPr>
        <w:tabs>
          <w:tab w:val="left" w:pos="6300"/>
        </w:tabs>
        <w:snapToGrid w:val="0"/>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我方对以上承诺负全部法律责任。</w:t>
      </w:r>
    </w:p>
    <w:p w14:paraId="78F2D84E">
      <w:pPr>
        <w:tabs>
          <w:tab w:val="left" w:pos="6300"/>
        </w:tabs>
        <w:snapToGrid w:val="0"/>
        <w:spacing w:line="530" w:lineRule="exact"/>
        <w:ind w:firstLine="480"/>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特此承诺。</w:t>
      </w:r>
    </w:p>
    <w:p w14:paraId="17611E93">
      <w:pPr>
        <w:tabs>
          <w:tab w:val="left" w:pos="6300"/>
        </w:tabs>
        <w:snapToGrid w:val="0"/>
        <w:spacing w:line="530" w:lineRule="exact"/>
        <w:ind w:firstLine="480"/>
        <w:rPr>
          <w:rFonts w:hint="eastAsia" w:ascii="方正仿宋_GBK" w:eastAsia="方正仿宋_GBK"/>
          <w:color w:val="000000" w:themeColor="text1"/>
          <w:szCs w:val="24"/>
          <w14:textFill>
            <w14:solidFill>
              <w14:schemeClr w14:val="tx1"/>
            </w14:solidFill>
          </w14:textFill>
        </w:rPr>
      </w:pPr>
    </w:p>
    <w:p w14:paraId="03DEB929">
      <w:pPr>
        <w:tabs>
          <w:tab w:val="left" w:pos="6300"/>
        </w:tabs>
        <w:snapToGrid w:val="0"/>
        <w:spacing w:line="530" w:lineRule="exact"/>
        <w:ind w:right="424" w:firstLine="480"/>
        <w:jc w:val="right"/>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（竞价人公章）</w:t>
      </w:r>
    </w:p>
    <w:p w14:paraId="1271FF83">
      <w:pPr>
        <w:tabs>
          <w:tab w:val="left" w:pos="6300"/>
        </w:tabs>
        <w:snapToGrid w:val="0"/>
        <w:spacing w:line="530" w:lineRule="exact"/>
        <w:ind w:right="480" w:firstLine="480"/>
        <w:jc w:val="right"/>
        <w:rPr>
          <w:rFonts w:hint="eastAsia" w:ascii="方正仿宋_GBK" w:eastAsia="方正仿宋_GBK"/>
          <w:color w:val="000000" w:themeColor="text1"/>
          <w:szCs w:val="24"/>
          <w14:textFill>
            <w14:solidFill>
              <w14:schemeClr w14:val="tx1"/>
            </w14:solidFill>
          </w14:textFill>
        </w:rPr>
      </w:pPr>
      <w:r>
        <w:rPr>
          <w:rFonts w:hint="eastAsia" w:ascii="方正仿宋_GBK" w:eastAsia="方正仿宋_GBK"/>
          <w:color w:val="000000" w:themeColor="text1"/>
          <w:szCs w:val="24"/>
          <w14:textFill>
            <w14:solidFill>
              <w14:schemeClr w14:val="tx1"/>
            </w14:solidFill>
          </w14:textFill>
        </w:rPr>
        <w:t>年   月   日</w:t>
      </w:r>
    </w:p>
    <w:p w14:paraId="3A63FF1C">
      <w:pPr>
        <w:ind w:firstLine="480"/>
        <w:rPr>
          <w:rFonts w:hint="eastAsia" w:ascii="方正仿宋_GBK" w:hAnsi="宋体" w:eastAsia="方正仿宋_GBK" w:cs="宋体"/>
          <w:color w:val="000000" w:themeColor="text1"/>
          <w14:textFill>
            <w14:solidFill>
              <w14:schemeClr w14:val="tx1"/>
            </w14:solidFill>
          </w14:textFill>
        </w:rPr>
      </w:pPr>
    </w:p>
    <w:p w14:paraId="293EA9B1">
      <w:pPr>
        <w:ind w:firstLine="480"/>
        <w:rPr>
          <w:rFonts w:hint="eastAsia" w:ascii="方正仿宋_GBK" w:hAnsi="宋体" w:eastAsia="方正仿宋_GBK" w:cs="宋体"/>
          <w:color w:val="000000" w:themeColor="text1"/>
          <w14:textFill>
            <w14:solidFill>
              <w14:schemeClr w14:val="tx1"/>
            </w14:solidFill>
          </w14:textFill>
        </w:rPr>
      </w:pPr>
      <w:r>
        <w:rPr>
          <w:rFonts w:hint="eastAsia" w:ascii="方正仿宋_GBK" w:hAnsi="宋体" w:eastAsia="方正仿宋_GBK" w:cs="宋体"/>
          <w:color w:val="000000" w:themeColor="text1"/>
          <w14:textFill>
            <w14:solidFill>
              <w14:schemeClr w14:val="tx1"/>
            </w14:solidFill>
          </w14:textFill>
        </w:rPr>
        <w:br w:type="page"/>
      </w:r>
      <w:r>
        <w:rPr>
          <w:rFonts w:hint="eastAsia" w:ascii="方正仿宋_GBK" w:hAnsi="宋体" w:eastAsia="方正仿宋_GBK" w:cs="宋体"/>
          <w:color w:val="000000" w:themeColor="text1"/>
          <w:szCs w:val="22"/>
          <w14:textFill>
            <w14:solidFill>
              <w14:schemeClr w14:val="tx1"/>
            </w14:solidFill>
          </w14:textFill>
        </w:rPr>
        <w:t>（五）特定资格条件证书或证明文件</w:t>
      </w:r>
      <w:bookmarkEnd w:id="782"/>
      <w:r>
        <w:rPr>
          <w:rFonts w:hint="eastAsia" w:ascii="方正仿宋_GBK" w:hAnsi="宋体" w:eastAsia="方正仿宋_GBK" w:cs="宋体"/>
          <w:color w:val="000000" w:themeColor="text1"/>
          <w:szCs w:val="22"/>
          <w14:textFill>
            <w14:solidFill>
              <w14:schemeClr w14:val="tx1"/>
            </w14:solidFill>
          </w14:textFill>
        </w:rPr>
        <w:t>（如果有）</w:t>
      </w:r>
    </w:p>
    <w:sectPr>
      <w:pgSz w:w="11907" w:h="16840"/>
      <w:pgMar w:top="1134" w:right="1191" w:bottom="1134" w:left="1304" w:header="567" w:footer="63"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orBidi">
    <w:altName w:val="Times New Roman"/>
    <w:panose1 w:val="00000000000000000000"/>
    <w:charset w:val="00"/>
    <w:family w:val="decorative"/>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D24C">
    <w:pPr>
      <w:pStyle w:val="21"/>
      <w:ind w:firstLine="360"/>
      <w:jc w:val="center"/>
      <w:rPr>
        <w:rFonts w:hint="eastAsia"/>
      </w:rPr>
    </w:pPr>
    <w:r>
      <w:fldChar w:fldCharType="begin"/>
    </w:r>
    <w:r>
      <w:instrText xml:space="preserve">PAGE   \* MERGEFORMAT</w:instrText>
    </w:r>
    <w:r>
      <w:fldChar w:fldCharType="separate"/>
    </w:r>
    <w:r>
      <w:rPr>
        <w:rFonts w:hint="eastAsia"/>
        <w:lang w:val="zh-CN"/>
      </w:rPr>
      <w:t>-</w:t>
    </w:r>
    <w:r>
      <w:rPr>
        <w:rFonts w:hint="eastAsia"/>
      </w:rPr>
      <w:t xml:space="preserve"> 43 -</w:t>
    </w:r>
    <w:r>
      <w:fldChar w:fldCharType="end"/>
    </w:r>
  </w:p>
  <w:p w14:paraId="619EB12F">
    <w:pPr>
      <w:pStyle w:val="2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D0E5">
    <w:pPr>
      <w:pStyle w:val="2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C11D">
    <w:pPr>
      <w:pStyle w:val="2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67F2">
    <w:pPr>
      <w:pStyle w:val="22"/>
      <w:ind w:firstLine="90" w:firstLineChars="5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CC00">
    <w:pPr>
      <w:pStyle w:val="2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3244">
    <w:pPr>
      <w:pStyle w:val="2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669A2"/>
    <w:multiLevelType w:val="singleLevel"/>
    <w:tmpl w:val="853669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9"/>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WE3NDg4YzIwZmUxOGEwMGQzZjkwZDZkZDA4NDQifQ=="/>
  </w:docVars>
  <w:rsids>
    <w:rsidRoot w:val="00224DCF"/>
    <w:rsid w:val="00000A19"/>
    <w:rsid w:val="0000155B"/>
    <w:rsid w:val="00011EFC"/>
    <w:rsid w:val="00014B02"/>
    <w:rsid w:val="0001601A"/>
    <w:rsid w:val="00020857"/>
    <w:rsid w:val="00020A36"/>
    <w:rsid w:val="00032885"/>
    <w:rsid w:val="000402E2"/>
    <w:rsid w:val="00050872"/>
    <w:rsid w:val="00050B75"/>
    <w:rsid w:val="000525A2"/>
    <w:rsid w:val="0007290D"/>
    <w:rsid w:val="0007365A"/>
    <w:rsid w:val="00074922"/>
    <w:rsid w:val="00076A50"/>
    <w:rsid w:val="000776DB"/>
    <w:rsid w:val="00077E71"/>
    <w:rsid w:val="00081155"/>
    <w:rsid w:val="00086CF9"/>
    <w:rsid w:val="0009075B"/>
    <w:rsid w:val="00091561"/>
    <w:rsid w:val="000933BF"/>
    <w:rsid w:val="00095BD5"/>
    <w:rsid w:val="000A777C"/>
    <w:rsid w:val="000B08E3"/>
    <w:rsid w:val="000B1601"/>
    <w:rsid w:val="000B2D9D"/>
    <w:rsid w:val="000B6945"/>
    <w:rsid w:val="000C43C3"/>
    <w:rsid w:val="000C5FA3"/>
    <w:rsid w:val="000C6C45"/>
    <w:rsid w:val="000C74CD"/>
    <w:rsid w:val="000D2DA8"/>
    <w:rsid w:val="000D7A5D"/>
    <w:rsid w:val="000E2200"/>
    <w:rsid w:val="000E31D8"/>
    <w:rsid w:val="000E6FDD"/>
    <w:rsid w:val="000E7920"/>
    <w:rsid w:val="000F49B9"/>
    <w:rsid w:val="000F6499"/>
    <w:rsid w:val="000F6C01"/>
    <w:rsid w:val="00100C82"/>
    <w:rsid w:val="001016CD"/>
    <w:rsid w:val="001052E8"/>
    <w:rsid w:val="00110AF8"/>
    <w:rsid w:val="001113BD"/>
    <w:rsid w:val="0011223E"/>
    <w:rsid w:val="001178C8"/>
    <w:rsid w:val="00122A43"/>
    <w:rsid w:val="001233AE"/>
    <w:rsid w:val="001261ED"/>
    <w:rsid w:val="0012698C"/>
    <w:rsid w:val="001279D5"/>
    <w:rsid w:val="00130014"/>
    <w:rsid w:val="00132019"/>
    <w:rsid w:val="001342AD"/>
    <w:rsid w:val="00135111"/>
    <w:rsid w:val="00142935"/>
    <w:rsid w:val="00143756"/>
    <w:rsid w:val="001505C3"/>
    <w:rsid w:val="00152BAC"/>
    <w:rsid w:val="00152D32"/>
    <w:rsid w:val="00156AB3"/>
    <w:rsid w:val="00160107"/>
    <w:rsid w:val="00161775"/>
    <w:rsid w:val="00163327"/>
    <w:rsid w:val="001633CC"/>
    <w:rsid w:val="00165578"/>
    <w:rsid w:val="00167F49"/>
    <w:rsid w:val="001716C0"/>
    <w:rsid w:val="0017222A"/>
    <w:rsid w:val="00177402"/>
    <w:rsid w:val="00183EE1"/>
    <w:rsid w:val="00186DB0"/>
    <w:rsid w:val="001A6B9C"/>
    <w:rsid w:val="001B2498"/>
    <w:rsid w:val="001C6831"/>
    <w:rsid w:val="001C7675"/>
    <w:rsid w:val="001C7FF7"/>
    <w:rsid w:val="001D0905"/>
    <w:rsid w:val="001E146F"/>
    <w:rsid w:val="001E796C"/>
    <w:rsid w:val="001F1BBC"/>
    <w:rsid w:val="001F36E2"/>
    <w:rsid w:val="001F65E7"/>
    <w:rsid w:val="00200402"/>
    <w:rsid w:val="00212D54"/>
    <w:rsid w:val="00216F71"/>
    <w:rsid w:val="0021733F"/>
    <w:rsid w:val="00224DCF"/>
    <w:rsid w:val="0023325A"/>
    <w:rsid w:val="00241555"/>
    <w:rsid w:val="00246262"/>
    <w:rsid w:val="00246B1B"/>
    <w:rsid w:val="00246C64"/>
    <w:rsid w:val="0025186E"/>
    <w:rsid w:val="00280064"/>
    <w:rsid w:val="00286E1F"/>
    <w:rsid w:val="00287A67"/>
    <w:rsid w:val="00296458"/>
    <w:rsid w:val="002A1900"/>
    <w:rsid w:val="002A6AAB"/>
    <w:rsid w:val="002B6B7A"/>
    <w:rsid w:val="002B6BB3"/>
    <w:rsid w:val="002C2F2D"/>
    <w:rsid w:val="002C5DB8"/>
    <w:rsid w:val="002C6572"/>
    <w:rsid w:val="002D7B76"/>
    <w:rsid w:val="002F0374"/>
    <w:rsid w:val="002F3555"/>
    <w:rsid w:val="003002F8"/>
    <w:rsid w:val="00303104"/>
    <w:rsid w:val="00303DB4"/>
    <w:rsid w:val="00310D2A"/>
    <w:rsid w:val="0031177D"/>
    <w:rsid w:val="00330D60"/>
    <w:rsid w:val="00333DB7"/>
    <w:rsid w:val="0033539A"/>
    <w:rsid w:val="00337D30"/>
    <w:rsid w:val="00355414"/>
    <w:rsid w:val="00364442"/>
    <w:rsid w:val="003646B1"/>
    <w:rsid w:val="003704E8"/>
    <w:rsid w:val="0037176E"/>
    <w:rsid w:val="003719BC"/>
    <w:rsid w:val="00374224"/>
    <w:rsid w:val="0037740F"/>
    <w:rsid w:val="00385274"/>
    <w:rsid w:val="00385782"/>
    <w:rsid w:val="00391B46"/>
    <w:rsid w:val="003A373F"/>
    <w:rsid w:val="003B52C5"/>
    <w:rsid w:val="003C2619"/>
    <w:rsid w:val="003C443F"/>
    <w:rsid w:val="003D733D"/>
    <w:rsid w:val="003E096C"/>
    <w:rsid w:val="003E7B75"/>
    <w:rsid w:val="003F5210"/>
    <w:rsid w:val="003F5B67"/>
    <w:rsid w:val="00401F61"/>
    <w:rsid w:val="00403BF2"/>
    <w:rsid w:val="00410BA4"/>
    <w:rsid w:val="00410CD8"/>
    <w:rsid w:val="004170BF"/>
    <w:rsid w:val="00430F9B"/>
    <w:rsid w:val="00432261"/>
    <w:rsid w:val="00433BAC"/>
    <w:rsid w:val="00443DCC"/>
    <w:rsid w:val="004451E2"/>
    <w:rsid w:val="0044770E"/>
    <w:rsid w:val="0045116D"/>
    <w:rsid w:val="004543C5"/>
    <w:rsid w:val="00457C17"/>
    <w:rsid w:val="0047377F"/>
    <w:rsid w:val="00477844"/>
    <w:rsid w:val="00482A82"/>
    <w:rsid w:val="0048432F"/>
    <w:rsid w:val="00490DE9"/>
    <w:rsid w:val="0049574F"/>
    <w:rsid w:val="004B1246"/>
    <w:rsid w:val="004C5848"/>
    <w:rsid w:val="004C640D"/>
    <w:rsid w:val="004D194F"/>
    <w:rsid w:val="004D7CAE"/>
    <w:rsid w:val="004E0AF7"/>
    <w:rsid w:val="004E3C17"/>
    <w:rsid w:val="004F0647"/>
    <w:rsid w:val="004F2424"/>
    <w:rsid w:val="004F6A91"/>
    <w:rsid w:val="00500093"/>
    <w:rsid w:val="00501AE5"/>
    <w:rsid w:val="00505A7E"/>
    <w:rsid w:val="0051260C"/>
    <w:rsid w:val="00535F72"/>
    <w:rsid w:val="00536B4A"/>
    <w:rsid w:val="005409B5"/>
    <w:rsid w:val="0054315E"/>
    <w:rsid w:val="00545A12"/>
    <w:rsid w:val="00546D83"/>
    <w:rsid w:val="00551047"/>
    <w:rsid w:val="00557309"/>
    <w:rsid w:val="00561BD4"/>
    <w:rsid w:val="00564D28"/>
    <w:rsid w:val="00565BBE"/>
    <w:rsid w:val="005737DF"/>
    <w:rsid w:val="005816B2"/>
    <w:rsid w:val="0058740C"/>
    <w:rsid w:val="005A2F59"/>
    <w:rsid w:val="005A5476"/>
    <w:rsid w:val="005C5C3A"/>
    <w:rsid w:val="005D6B12"/>
    <w:rsid w:val="005E34B8"/>
    <w:rsid w:val="005F3421"/>
    <w:rsid w:val="005F7EC1"/>
    <w:rsid w:val="006000D4"/>
    <w:rsid w:val="0060377E"/>
    <w:rsid w:val="00605CE9"/>
    <w:rsid w:val="00605D72"/>
    <w:rsid w:val="00610FA9"/>
    <w:rsid w:val="00611480"/>
    <w:rsid w:val="00624ED5"/>
    <w:rsid w:val="00626120"/>
    <w:rsid w:val="00633929"/>
    <w:rsid w:val="0063748A"/>
    <w:rsid w:val="00643C0C"/>
    <w:rsid w:val="006508F7"/>
    <w:rsid w:val="00651F56"/>
    <w:rsid w:val="0065530A"/>
    <w:rsid w:val="006677FA"/>
    <w:rsid w:val="00667B03"/>
    <w:rsid w:val="00670FC7"/>
    <w:rsid w:val="00674AEB"/>
    <w:rsid w:val="00676DFA"/>
    <w:rsid w:val="00677921"/>
    <w:rsid w:val="006822CE"/>
    <w:rsid w:val="0068488B"/>
    <w:rsid w:val="006859B0"/>
    <w:rsid w:val="006870CB"/>
    <w:rsid w:val="006A3BD6"/>
    <w:rsid w:val="006A5A3C"/>
    <w:rsid w:val="006A727E"/>
    <w:rsid w:val="006B2C5F"/>
    <w:rsid w:val="006B55D5"/>
    <w:rsid w:val="006B5876"/>
    <w:rsid w:val="006C1B4E"/>
    <w:rsid w:val="006C6498"/>
    <w:rsid w:val="006E6FDA"/>
    <w:rsid w:val="006F0C66"/>
    <w:rsid w:val="006F5ABF"/>
    <w:rsid w:val="00703EBD"/>
    <w:rsid w:val="00704E0B"/>
    <w:rsid w:val="00707536"/>
    <w:rsid w:val="00710C89"/>
    <w:rsid w:val="00713BEC"/>
    <w:rsid w:val="00716B49"/>
    <w:rsid w:val="00723512"/>
    <w:rsid w:val="00723E9D"/>
    <w:rsid w:val="00725970"/>
    <w:rsid w:val="007362B8"/>
    <w:rsid w:val="007457C2"/>
    <w:rsid w:val="007467AA"/>
    <w:rsid w:val="00752A04"/>
    <w:rsid w:val="00754BEE"/>
    <w:rsid w:val="00757098"/>
    <w:rsid w:val="00770353"/>
    <w:rsid w:val="0077071E"/>
    <w:rsid w:val="007737F6"/>
    <w:rsid w:val="00777789"/>
    <w:rsid w:val="00784BA6"/>
    <w:rsid w:val="007A10F6"/>
    <w:rsid w:val="007A1FC6"/>
    <w:rsid w:val="007A3A11"/>
    <w:rsid w:val="007A5EC4"/>
    <w:rsid w:val="007B1588"/>
    <w:rsid w:val="007C4201"/>
    <w:rsid w:val="007D0167"/>
    <w:rsid w:val="007D2C44"/>
    <w:rsid w:val="007D7689"/>
    <w:rsid w:val="007E32EC"/>
    <w:rsid w:val="007E38D8"/>
    <w:rsid w:val="007E76C6"/>
    <w:rsid w:val="007F3B21"/>
    <w:rsid w:val="007F6EA8"/>
    <w:rsid w:val="008136C3"/>
    <w:rsid w:val="00813ACF"/>
    <w:rsid w:val="008205C8"/>
    <w:rsid w:val="00826836"/>
    <w:rsid w:val="00827186"/>
    <w:rsid w:val="00827DD2"/>
    <w:rsid w:val="00827E8E"/>
    <w:rsid w:val="00831DEA"/>
    <w:rsid w:val="00835EBD"/>
    <w:rsid w:val="00837897"/>
    <w:rsid w:val="00837CCD"/>
    <w:rsid w:val="00845AD0"/>
    <w:rsid w:val="0085415C"/>
    <w:rsid w:val="00855CC7"/>
    <w:rsid w:val="00862E51"/>
    <w:rsid w:val="0086525C"/>
    <w:rsid w:val="0086736B"/>
    <w:rsid w:val="0087472C"/>
    <w:rsid w:val="008764D6"/>
    <w:rsid w:val="00876684"/>
    <w:rsid w:val="00877B4C"/>
    <w:rsid w:val="00884499"/>
    <w:rsid w:val="00887AD6"/>
    <w:rsid w:val="00890A6C"/>
    <w:rsid w:val="00893014"/>
    <w:rsid w:val="008938A9"/>
    <w:rsid w:val="00893C6F"/>
    <w:rsid w:val="00897F0E"/>
    <w:rsid w:val="008A6AD5"/>
    <w:rsid w:val="008B39AE"/>
    <w:rsid w:val="008C3063"/>
    <w:rsid w:val="008C42BF"/>
    <w:rsid w:val="008C65B0"/>
    <w:rsid w:val="008C6978"/>
    <w:rsid w:val="008D2B5F"/>
    <w:rsid w:val="008D5C97"/>
    <w:rsid w:val="008D78C4"/>
    <w:rsid w:val="008F07A2"/>
    <w:rsid w:val="008F0E95"/>
    <w:rsid w:val="008F38B2"/>
    <w:rsid w:val="008F4431"/>
    <w:rsid w:val="008F5A97"/>
    <w:rsid w:val="0090161B"/>
    <w:rsid w:val="009127EC"/>
    <w:rsid w:val="00915211"/>
    <w:rsid w:val="00916B87"/>
    <w:rsid w:val="0092111A"/>
    <w:rsid w:val="00924261"/>
    <w:rsid w:val="00924E51"/>
    <w:rsid w:val="009264B4"/>
    <w:rsid w:val="00927646"/>
    <w:rsid w:val="009337E0"/>
    <w:rsid w:val="0094755B"/>
    <w:rsid w:val="0096044F"/>
    <w:rsid w:val="0096092D"/>
    <w:rsid w:val="00960AE6"/>
    <w:rsid w:val="00961BEC"/>
    <w:rsid w:val="00962638"/>
    <w:rsid w:val="00963263"/>
    <w:rsid w:val="009656E6"/>
    <w:rsid w:val="009665EE"/>
    <w:rsid w:val="00967896"/>
    <w:rsid w:val="00975E99"/>
    <w:rsid w:val="00983629"/>
    <w:rsid w:val="0098790F"/>
    <w:rsid w:val="0099441A"/>
    <w:rsid w:val="00994904"/>
    <w:rsid w:val="009A0718"/>
    <w:rsid w:val="009A07D4"/>
    <w:rsid w:val="009A5AA2"/>
    <w:rsid w:val="009B13C9"/>
    <w:rsid w:val="009B4025"/>
    <w:rsid w:val="009B6293"/>
    <w:rsid w:val="009B734F"/>
    <w:rsid w:val="009C01AA"/>
    <w:rsid w:val="009C01C1"/>
    <w:rsid w:val="009C4BB8"/>
    <w:rsid w:val="009D138D"/>
    <w:rsid w:val="009D4461"/>
    <w:rsid w:val="009D48D0"/>
    <w:rsid w:val="009E3893"/>
    <w:rsid w:val="009E6886"/>
    <w:rsid w:val="009F541B"/>
    <w:rsid w:val="009F7836"/>
    <w:rsid w:val="00A017F4"/>
    <w:rsid w:val="00A12CAB"/>
    <w:rsid w:val="00A146A9"/>
    <w:rsid w:val="00A24B2D"/>
    <w:rsid w:val="00A26A1E"/>
    <w:rsid w:val="00A301C0"/>
    <w:rsid w:val="00A40E18"/>
    <w:rsid w:val="00A50B30"/>
    <w:rsid w:val="00A511B9"/>
    <w:rsid w:val="00A61412"/>
    <w:rsid w:val="00A61E62"/>
    <w:rsid w:val="00A6320C"/>
    <w:rsid w:val="00A723DB"/>
    <w:rsid w:val="00A73503"/>
    <w:rsid w:val="00A7395C"/>
    <w:rsid w:val="00A76946"/>
    <w:rsid w:val="00A77D2C"/>
    <w:rsid w:val="00A86C5A"/>
    <w:rsid w:val="00A94C59"/>
    <w:rsid w:val="00AA0F87"/>
    <w:rsid w:val="00AC6A53"/>
    <w:rsid w:val="00AD0B41"/>
    <w:rsid w:val="00AD4D34"/>
    <w:rsid w:val="00AE4E99"/>
    <w:rsid w:val="00AE5F2B"/>
    <w:rsid w:val="00AE6E89"/>
    <w:rsid w:val="00B02FCF"/>
    <w:rsid w:val="00B07E7B"/>
    <w:rsid w:val="00B10368"/>
    <w:rsid w:val="00B11927"/>
    <w:rsid w:val="00B1645A"/>
    <w:rsid w:val="00B20E3D"/>
    <w:rsid w:val="00B214E0"/>
    <w:rsid w:val="00B21D42"/>
    <w:rsid w:val="00B23467"/>
    <w:rsid w:val="00B23EC0"/>
    <w:rsid w:val="00B33649"/>
    <w:rsid w:val="00B34A83"/>
    <w:rsid w:val="00B41769"/>
    <w:rsid w:val="00B4289A"/>
    <w:rsid w:val="00B50319"/>
    <w:rsid w:val="00B50424"/>
    <w:rsid w:val="00B652A4"/>
    <w:rsid w:val="00B717C2"/>
    <w:rsid w:val="00B71AE2"/>
    <w:rsid w:val="00B735E7"/>
    <w:rsid w:val="00B80467"/>
    <w:rsid w:val="00B82C96"/>
    <w:rsid w:val="00B82DFD"/>
    <w:rsid w:val="00B8724A"/>
    <w:rsid w:val="00B87306"/>
    <w:rsid w:val="00B91534"/>
    <w:rsid w:val="00B91BD1"/>
    <w:rsid w:val="00B929AE"/>
    <w:rsid w:val="00BA2BA9"/>
    <w:rsid w:val="00BB0BA3"/>
    <w:rsid w:val="00BC56F2"/>
    <w:rsid w:val="00BC6C37"/>
    <w:rsid w:val="00BE3FB0"/>
    <w:rsid w:val="00BF0547"/>
    <w:rsid w:val="00BF414B"/>
    <w:rsid w:val="00BF4A1B"/>
    <w:rsid w:val="00BF5154"/>
    <w:rsid w:val="00BF7003"/>
    <w:rsid w:val="00C07AFE"/>
    <w:rsid w:val="00C105BE"/>
    <w:rsid w:val="00C14D23"/>
    <w:rsid w:val="00C1574C"/>
    <w:rsid w:val="00C15A91"/>
    <w:rsid w:val="00C2475E"/>
    <w:rsid w:val="00C249F9"/>
    <w:rsid w:val="00C25C19"/>
    <w:rsid w:val="00C32252"/>
    <w:rsid w:val="00C3596A"/>
    <w:rsid w:val="00C40145"/>
    <w:rsid w:val="00C46F05"/>
    <w:rsid w:val="00C47847"/>
    <w:rsid w:val="00C53119"/>
    <w:rsid w:val="00C62026"/>
    <w:rsid w:val="00C6367F"/>
    <w:rsid w:val="00C727D5"/>
    <w:rsid w:val="00C84D34"/>
    <w:rsid w:val="00C92FC7"/>
    <w:rsid w:val="00CA0195"/>
    <w:rsid w:val="00CA0A92"/>
    <w:rsid w:val="00CA18A6"/>
    <w:rsid w:val="00CA7645"/>
    <w:rsid w:val="00CB375A"/>
    <w:rsid w:val="00CB535F"/>
    <w:rsid w:val="00CB6F37"/>
    <w:rsid w:val="00CB7A48"/>
    <w:rsid w:val="00CC1BB8"/>
    <w:rsid w:val="00CD08B4"/>
    <w:rsid w:val="00CD4770"/>
    <w:rsid w:val="00CE04AB"/>
    <w:rsid w:val="00CE4570"/>
    <w:rsid w:val="00CE461E"/>
    <w:rsid w:val="00CF2122"/>
    <w:rsid w:val="00CF3369"/>
    <w:rsid w:val="00CF60CC"/>
    <w:rsid w:val="00D01D21"/>
    <w:rsid w:val="00D17B37"/>
    <w:rsid w:val="00D260F8"/>
    <w:rsid w:val="00D26139"/>
    <w:rsid w:val="00D26FA1"/>
    <w:rsid w:val="00D407CC"/>
    <w:rsid w:val="00D441D1"/>
    <w:rsid w:val="00D4584A"/>
    <w:rsid w:val="00D5193E"/>
    <w:rsid w:val="00D53A27"/>
    <w:rsid w:val="00D54809"/>
    <w:rsid w:val="00D600C8"/>
    <w:rsid w:val="00D601F2"/>
    <w:rsid w:val="00D60A28"/>
    <w:rsid w:val="00D64930"/>
    <w:rsid w:val="00D66BD3"/>
    <w:rsid w:val="00D66BEB"/>
    <w:rsid w:val="00D85AE5"/>
    <w:rsid w:val="00D864ED"/>
    <w:rsid w:val="00D939CE"/>
    <w:rsid w:val="00DA201F"/>
    <w:rsid w:val="00DA234E"/>
    <w:rsid w:val="00DA45B7"/>
    <w:rsid w:val="00DA776D"/>
    <w:rsid w:val="00DB454F"/>
    <w:rsid w:val="00DB76E6"/>
    <w:rsid w:val="00DB7A29"/>
    <w:rsid w:val="00DC1B74"/>
    <w:rsid w:val="00DD378A"/>
    <w:rsid w:val="00DE2288"/>
    <w:rsid w:val="00DE6786"/>
    <w:rsid w:val="00DE7398"/>
    <w:rsid w:val="00DF0370"/>
    <w:rsid w:val="00E067F5"/>
    <w:rsid w:val="00E10E05"/>
    <w:rsid w:val="00E1231A"/>
    <w:rsid w:val="00E14A05"/>
    <w:rsid w:val="00E16D1D"/>
    <w:rsid w:val="00E1748C"/>
    <w:rsid w:val="00E37D92"/>
    <w:rsid w:val="00E4265C"/>
    <w:rsid w:val="00E5063B"/>
    <w:rsid w:val="00E50AD8"/>
    <w:rsid w:val="00E62864"/>
    <w:rsid w:val="00E8219A"/>
    <w:rsid w:val="00E83A96"/>
    <w:rsid w:val="00E86ACA"/>
    <w:rsid w:val="00E87483"/>
    <w:rsid w:val="00E91ACF"/>
    <w:rsid w:val="00EB4937"/>
    <w:rsid w:val="00ED1B38"/>
    <w:rsid w:val="00ED325B"/>
    <w:rsid w:val="00ED3AB0"/>
    <w:rsid w:val="00ED5E59"/>
    <w:rsid w:val="00ED70F6"/>
    <w:rsid w:val="00EE32B5"/>
    <w:rsid w:val="00EE4608"/>
    <w:rsid w:val="00EF1E09"/>
    <w:rsid w:val="00F0043F"/>
    <w:rsid w:val="00F11283"/>
    <w:rsid w:val="00F11FE5"/>
    <w:rsid w:val="00F16A2E"/>
    <w:rsid w:val="00F205F2"/>
    <w:rsid w:val="00F25064"/>
    <w:rsid w:val="00F34367"/>
    <w:rsid w:val="00F36FAF"/>
    <w:rsid w:val="00F3798A"/>
    <w:rsid w:val="00F37A5E"/>
    <w:rsid w:val="00F434E3"/>
    <w:rsid w:val="00F473AD"/>
    <w:rsid w:val="00F5282A"/>
    <w:rsid w:val="00F6067F"/>
    <w:rsid w:val="00F619BA"/>
    <w:rsid w:val="00F640D2"/>
    <w:rsid w:val="00F66762"/>
    <w:rsid w:val="00F708C2"/>
    <w:rsid w:val="00F84E3E"/>
    <w:rsid w:val="00F85817"/>
    <w:rsid w:val="00F86DFF"/>
    <w:rsid w:val="00F90E10"/>
    <w:rsid w:val="00F92203"/>
    <w:rsid w:val="00F922D6"/>
    <w:rsid w:val="00F95E7C"/>
    <w:rsid w:val="00F95FA8"/>
    <w:rsid w:val="00FA5FE1"/>
    <w:rsid w:val="00FB0BBE"/>
    <w:rsid w:val="00FB31C1"/>
    <w:rsid w:val="00FB51A8"/>
    <w:rsid w:val="00FB57E5"/>
    <w:rsid w:val="00FB5F3E"/>
    <w:rsid w:val="00FC7F83"/>
    <w:rsid w:val="00FE1267"/>
    <w:rsid w:val="00FE4C9B"/>
    <w:rsid w:val="01017684"/>
    <w:rsid w:val="012D2227"/>
    <w:rsid w:val="0167398B"/>
    <w:rsid w:val="01B97F5E"/>
    <w:rsid w:val="01BE0845"/>
    <w:rsid w:val="01C40AA8"/>
    <w:rsid w:val="01C42852"/>
    <w:rsid w:val="01D408F4"/>
    <w:rsid w:val="01DC4C0C"/>
    <w:rsid w:val="01F95D53"/>
    <w:rsid w:val="021446A0"/>
    <w:rsid w:val="021C5C4F"/>
    <w:rsid w:val="022D22A4"/>
    <w:rsid w:val="025F1FF8"/>
    <w:rsid w:val="02E35293"/>
    <w:rsid w:val="03210EFB"/>
    <w:rsid w:val="033A2E93"/>
    <w:rsid w:val="035C0B61"/>
    <w:rsid w:val="03D35307"/>
    <w:rsid w:val="03E66A74"/>
    <w:rsid w:val="03FC35CA"/>
    <w:rsid w:val="04441D61"/>
    <w:rsid w:val="044F0706"/>
    <w:rsid w:val="04732647"/>
    <w:rsid w:val="04A35066"/>
    <w:rsid w:val="04C650B3"/>
    <w:rsid w:val="04EE6171"/>
    <w:rsid w:val="053A4F12"/>
    <w:rsid w:val="053B10C6"/>
    <w:rsid w:val="05461B09"/>
    <w:rsid w:val="054638BC"/>
    <w:rsid w:val="056A57F8"/>
    <w:rsid w:val="05882122"/>
    <w:rsid w:val="059154C5"/>
    <w:rsid w:val="05AA653C"/>
    <w:rsid w:val="05E0174E"/>
    <w:rsid w:val="05EC713F"/>
    <w:rsid w:val="06141D08"/>
    <w:rsid w:val="065A1D10"/>
    <w:rsid w:val="06757B4D"/>
    <w:rsid w:val="06B156A8"/>
    <w:rsid w:val="06BF5121"/>
    <w:rsid w:val="07034156"/>
    <w:rsid w:val="07126147"/>
    <w:rsid w:val="078D3A1F"/>
    <w:rsid w:val="079A2C6E"/>
    <w:rsid w:val="086C50CC"/>
    <w:rsid w:val="08736382"/>
    <w:rsid w:val="08813ADF"/>
    <w:rsid w:val="08A4478E"/>
    <w:rsid w:val="08B82D1E"/>
    <w:rsid w:val="08FF26FB"/>
    <w:rsid w:val="091B5D39"/>
    <w:rsid w:val="092D370C"/>
    <w:rsid w:val="09483189"/>
    <w:rsid w:val="0983332C"/>
    <w:rsid w:val="0A116571"/>
    <w:rsid w:val="0A2F5262"/>
    <w:rsid w:val="0A573DC5"/>
    <w:rsid w:val="0A913826"/>
    <w:rsid w:val="0B9E444D"/>
    <w:rsid w:val="0BD3486A"/>
    <w:rsid w:val="0C2801BA"/>
    <w:rsid w:val="0C404038"/>
    <w:rsid w:val="0C4B082E"/>
    <w:rsid w:val="0C895E65"/>
    <w:rsid w:val="0C9126D3"/>
    <w:rsid w:val="0CA35A93"/>
    <w:rsid w:val="0CAF61E6"/>
    <w:rsid w:val="0CE760D6"/>
    <w:rsid w:val="0D077DD0"/>
    <w:rsid w:val="0DAB4BFF"/>
    <w:rsid w:val="0DE03223"/>
    <w:rsid w:val="0E4B0853"/>
    <w:rsid w:val="0E6949D6"/>
    <w:rsid w:val="0F2878ED"/>
    <w:rsid w:val="0F2E4346"/>
    <w:rsid w:val="0F8971C2"/>
    <w:rsid w:val="0FA67D74"/>
    <w:rsid w:val="0FAE3955"/>
    <w:rsid w:val="10725EA8"/>
    <w:rsid w:val="109F606A"/>
    <w:rsid w:val="10DB7115"/>
    <w:rsid w:val="10DC2D13"/>
    <w:rsid w:val="112F3E66"/>
    <w:rsid w:val="11317B11"/>
    <w:rsid w:val="11447ABC"/>
    <w:rsid w:val="116972AB"/>
    <w:rsid w:val="11D00824"/>
    <w:rsid w:val="120668A8"/>
    <w:rsid w:val="125B6DD1"/>
    <w:rsid w:val="12A57183"/>
    <w:rsid w:val="12CD6937"/>
    <w:rsid w:val="12D06EB6"/>
    <w:rsid w:val="12EF15FF"/>
    <w:rsid w:val="13421F1C"/>
    <w:rsid w:val="137B0137"/>
    <w:rsid w:val="138F0B1F"/>
    <w:rsid w:val="13C07276"/>
    <w:rsid w:val="13CB7DA9"/>
    <w:rsid w:val="13DF1B91"/>
    <w:rsid w:val="13F6294C"/>
    <w:rsid w:val="141121D0"/>
    <w:rsid w:val="143516C6"/>
    <w:rsid w:val="145558C5"/>
    <w:rsid w:val="146E637F"/>
    <w:rsid w:val="147F2942"/>
    <w:rsid w:val="14C36239"/>
    <w:rsid w:val="14C7031A"/>
    <w:rsid w:val="14C931FC"/>
    <w:rsid w:val="14D25167"/>
    <w:rsid w:val="14F74BCE"/>
    <w:rsid w:val="152A6D51"/>
    <w:rsid w:val="15323E58"/>
    <w:rsid w:val="15542020"/>
    <w:rsid w:val="15672C4B"/>
    <w:rsid w:val="156D4E90"/>
    <w:rsid w:val="15944F11"/>
    <w:rsid w:val="15973CBB"/>
    <w:rsid w:val="15C90318"/>
    <w:rsid w:val="15F5735F"/>
    <w:rsid w:val="162D27B7"/>
    <w:rsid w:val="16A845E8"/>
    <w:rsid w:val="16BA2A06"/>
    <w:rsid w:val="16C266D3"/>
    <w:rsid w:val="16D8458B"/>
    <w:rsid w:val="17123F41"/>
    <w:rsid w:val="17243C5D"/>
    <w:rsid w:val="17367C2F"/>
    <w:rsid w:val="1758500D"/>
    <w:rsid w:val="179D2C23"/>
    <w:rsid w:val="17B73FB5"/>
    <w:rsid w:val="18351D69"/>
    <w:rsid w:val="183A43E2"/>
    <w:rsid w:val="184620F4"/>
    <w:rsid w:val="189027D1"/>
    <w:rsid w:val="18B828C6"/>
    <w:rsid w:val="18FD4F4F"/>
    <w:rsid w:val="192166BD"/>
    <w:rsid w:val="19875888"/>
    <w:rsid w:val="19C2220A"/>
    <w:rsid w:val="19D86048"/>
    <w:rsid w:val="19E33973"/>
    <w:rsid w:val="1A02204B"/>
    <w:rsid w:val="1A2B092D"/>
    <w:rsid w:val="1A345F7C"/>
    <w:rsid w:val="1A450189"/>
    <w:rsid w:val="1A55661F"/>
    <w:rsid w:val="1A564145"/>
    <w:rsid w:val="1A645BD6"/>
    <w:rsid w:val="1AE654C9"/>
    <w:rsid w:val="1B1C6834"/>
    <w:rsid w:val="1B416BA3"/>
    <w:rsid w:val="1B852378"/>
    <w:rsid w:val="1B8A679C"/>
    <w:rsid w:val="1BB71ADC"/>
    <w:rsid w:val="1BCD4094"/>
    <w:rsid w:val="1BDE4F99"/>
    <w:rsid w:val="1BF9122C"/>
    <w:rsid w:val="1C00080C"/>
    <w:rsid w:val="1C003CF0"/>
    <w:rsid w:val="1C395ACC"/>
    <w:rsid w:val="1C3F5943"/>
    <w:rsid w:val="1C436BA6"/>
    <w:rsid w:val="1C871401"/>
    <w:rsid w:val="1CDD7A90"/>
    <w:rsid w:val="1DE04C60"/>
    <w:rsid w:val="1DFD0740"/>
    <w:rsid w:val="1E0068A1"/>
    <w:rsid w:val="1E3612D0"/>
    <w:rsid w:val="1E5B3D33"/>
    <w:rsid w:val="1E8F2A80"/>
    <w:rsid w:val="1EF27E6C"/>
    <w:rsid w:val="1EFB350D"/>
    <w:rsid w:val="1F505606"/>
    <w:rsid w:val="1F845B5F"/>
    <w:rsid w:val="1F923E71"/>
    <w:rsid w:val="1FB407E1"/>
    <w:rsid w:val="1FFF4183"/>
    <w:rsid w:val="20205DA6"/>
    <w:rsid w:val="20651585"/>
    <w:rsid w:val="206F7D0E"/>
    <w:rsid w:val="20FF72E4"/>
    <w:rsid w:val="21313216"/>
    <w:rsid w:val="216435EB"/>
    <w:rsid w:val="216E446A"/>
    <w:rsid w:val="21A8797C"/>
    <w:rsid w:val="21F278DA"/>
    <w:rsid w:val="22417824"/>
    <w:rsid w:val="228F28EA"/>
    <w:rsid w:val="232777B5"/>
    <w:rsid w:val="236773C3"/>
    <w:rsid w:val="23FA3D93"/>
    <w:rsid w:val="24101808"/>
    <w:rsid w:val="24172B97"/>
    <w:rsid w:val="241E2177"/>
    <w:rsid w:val="24343749"/>
    <w:rsid w:val="24545B73"/>
    <w:rsid w:val="245477BF"/>
    <w:rsid w:val="24600539"/>
    <w:rsid w:val="246B5834"/>
    <w:rsid w:val="248579F1"/>
    <w:rsid w:val="248B7A14"/>
    <w:rsid w:val="24F33686"/>
    <w:rsid w:val="25227A45"/>
    <w:rsid w:val="255B6AB3"/>
    <w:rsid w:val="256726AA"/>
    <w:rsid w:val="25836A59"/>
    <w:rsid w:val="259A582D"/>
    <w:rsid w:val="25B46099"/>
    <w:rsid w:val="25CD5C03"/>
    <w:rsid w:val="25EC3BAF"/>
    <w:rsid w:val="266F0A68"/>
    <w:rsid w:val="269C55D5"/>
    <w:rsid w:val="26AF70B6"/>
    <w:rsid w:val="26D2224C"/>
    <w:rsid w:val="26E03714"/>
    <w:rsid w:val="26ED7BDF"/>
    <w:rsid w:val="27616DA3"/>
    <w:rsid w:val="27F136FF"/>
    <w:rsid w:val="27FA0805"/>
    <w:rsid w:val="28063C09"/>
    <w:rsid w:val="28262CE0"/>
    <w:rsid w:val="28285372"/>
    <w:rsid w:val="287702CA"/>
    <w:rsid w:val="288F61BD"/>
    <w:rsid w:val="28DF17A9"/>
    <w:rsid w:val="29064F88"/>
    <w:rsid w:val="29513AD1"/>
    <w:rsid w:val="29947245"/>
    <w:rsid w:val="29973D1E"/>
    <w:rsid w:val="29C9356B"/>
    <w:rsid w:val="2A662182"/>
    <w:rsid w:val="2A9B7BD9"/>
    <w:rsid w:val="2AB6165A"/>
    <w:rsid w:val="2AD32EA7"/>
    <w:rsid w:val="2B125E66"/>
    <w:rsid w:val="2B7248B7"/>
    <w:rsid w:val="2BE94E19"/>
    <w:rsid w:val="2C274C75"/>
    <w:rsid w:val="2C9D25D2"/>
    <w:rsid w:val="2CC338BC"/>
    <w:rsid w:val="2CC41508"/>
    <w:rsid w:val="2CD21D51"/>
    <w:rsid w:val="2D4B19B6"/>
    <w:rsid w:val="2D5C161A"/>
    <w:rsid w:val="2DC53663"/>
    <w:rsid w:val="2DE439E6"/>
    <w:rsid w:val="2E20089A"/>
    <w:rsid w:val="2E2049D4"/>
    <w:rsid w:val="2E58070B"/>
    <w:rsid w:val="2E690493"/>
    <w:rsid w:val="2E6E7857"/>
    <w:rsid w:val="2EAC19F8"/>
    <w:rsid w:val="2EC21951"/>
    <w:rsid w:val="2EE02075"/>
    <w:rsid w:val="2EE12820"/>
    <w:rsid w:val="2F2909D1"/>
    <w:rsid w:val="2F4B27DB"/>
    <w:rsid w:val="2F612216"/>
    <w:rsid w:val="2F711BD6"/>
    <w:rsid w:val="2F911A4F"/>
    <w:rsid w:val="2FDD44B2"/>
    <w:rsid w:val="30025AC4"/>
    <w:rsid w:val="300A2AA7"/>
    <w:rsid w:val="30211AE8"/>
    <w:rsid w:val="302F3016"/>
    <w:rsid w:val="3032400F"/>
    <w:rsid w:val="307D1FD3"/>
    <w:rsid w:val="30805714"/>
    <w:rsid w:val="308426E0"/>
    <w:rsid w:val="30943775"/>
    <w:rsid w:val="30C220DC"/>
    <w:rsid w:val="31093867"/>
    <w:rsid w:val="3126266B"/>
    <w:rsid w:val="313D22E3"/>
    <w:rsid w:val="31442AF1"/>
    <w:rsid w:val="31EF6F01"/>
    <w:rsid w:val="31FD7870"/>
    <w:rsid w:val="32033338"/>
    <w:rsid w:val="32075FF9"/>
    <w:rsid w:val="320B4FDF"/>
    <w:rsid w:val="323D5EBE"/>
    <w:rsid w:val="325F5A54"/>
    <w:rsid w:val="326B53C3"/>
    <w:rsid w:val="329576C3"/>
    <w:rsid w:val="329D695D"/>
    <w:rsid w:val="32EA6FD9"/>
    <w:rsid w:val="33352737"/>
    <w:rsid w:val="334E50BD"/>
    <w:rsid w:val="33FB393B"/>
    <w:rsid w:val="3411315F"/>
    <w:rsid w:val="34142C4F"/>
    <w:rsid w:val="3417273F"/>
    <w:rsid w:val="3431735D"/>
    <w:rsid w:val="345607B4"/>
    <w:rsid w:val="34A53038"/>
    <w:rsid w:val="34A957B3"/>
    <w:rsid w:val="34AA710F"/>
    <w:rsid w:val="34AC2E87"/>
    <w:rsid w:val="34AE52C7"/>
    <w:rsid w:val="34E95E89"/>
    <w:rsid w:val="34F0015F"/>
    <w:rsid w:val="35661288"/>
    <w:rsid w:val="35725E7F"/>
    <w:rsid w:val="358636D8"/>
    <w:rsid w:val="35986AE3"/>
    <w:rsid w:val="35B2271F"/>
    <w:rsid w:val="35E0728C"/>
    <w:rsid w:val="35FB7BBE"/>
    <w:rsid w:val="36263C6B"/>
    <w:rsid w:val="363475D8"/>
    <w:rsid w:val="36714388"/>
    <w:rsid w:val="36722213"/>
    <w:rsid w:val="36A05191"/>
    <w:rsid w:val="36CE3589"/>
    <w:rsid w:val="370434C3"/>
    <w:rsid w:val="37054AD1"/>
    <w:rsid w:val="37225683"/>
    <w:rsid w:val="374256C4"/>
    <w:rsid w:val="3747333B"/>
    <w:rsid w:val="37647A49"/>
    <w:rsid w:val="376814CF"/>
    <w:rsid w:val="376A28C4"/>
    <w:rsid w:val="37BD53AB"/>
    <w:rsid w:val="37C8622A"/>
    <w:rsid w:val="37E172EC"/>
    <w:rsid w:val="381274A5"/>
    <w:rsid w:val="39461AFC"/>
    <w:rsid w:val="39536A1A"/>
    <w:rsid w:val="3963114C"/>
    <w:rsid w:val="39D125F1"/>
    <w:rsid w:val="39E8315D"/>
    <w:rsid w:val="39FD5175"/>
    <w:rsid w:val="3A0C4939"/>
    <w:rsid w:val="3A121F97"/>
    <w:rsid w:val="3A19526E"/>
    <w:rsid w:val="3A875B1A"/>
    <w:rsid w:val="3B4A22AB"/>
    <w:rsid w:val="3B585B17"/>
    <w:rsid w:val="3B875EF6"/>
    <w:rsid w:val="3BBC65B6"/>
    <w:rsid w:val="3BE15B0C"/>
    <w:rsid w:val="3C4165AB"/>
    <w:rsid w:val="3C4A1881"/>
    <w:rsid w:val="3C7249B6"/>
    <w:rsid w:val="3C936EE3"/>
    <w:rsid w:val="3CAE0B98"/>
    <w:rsid w:val="3CB21484"/>
    <w:rsid w:val="3CB60D47"/>
    <w:rsid w:val="3CC13740"/>
    <w:rsid w:val="3CD70CBD"/>
    <w:rsid w:val="3CE72519"/>
    <w:rsid w:val="3CF67395"/>
    <w:rsid w:val="3D803103"/>
    <w:rsid w:val="3D960B78"/>
    <w:rsid w:val="3DB35286"/>
    <w:rsid w:val="3DC52434"/>
    <w:rsid w:val="3DD53F7A"/>
    <w:rsid w:val="3DF633C5"/>
    <w:rsid w:val="3E6B2874"/>
    <w:rsid w:val="3EFB6785"/>
    <w:rsid w:val="3F690816"/>
    <w:rsid w:val="3FA466AF"/>
    <w:rsid w:val="3FCF2365"/>
    <w:rsid w:val="4010076E"/>
    <w:rsid w:val="40A435AC"/>
    <w:rsid w:val="40D93256"/>
    <w:rsid w:val="40F938F8"/>
    <w:rsid w:val="40F956A6"/>
    <w:rsid w:val="410A1661"/>
    <w:rsid w:val="41297BBD"/>
    <w:rsid w:val="414C4432"/>
    <w:rsid w:val="4153125A"/>
    <w:rsid w:val="41CD2721"/>
    <w:rsid w:val="41CE268F"/>
    <w:rsid w:val="420E33D3"/>
    <w:rsid w:val="42114C71"/>
    <w:rsid w:val="421F2EEA"/>
    <w:rsid w:val="42307E4F"/>
    <w:rsid w:val="426106B9"/>
    <w:rsid w:val="428E0070"/>
    <w:rsid w:val="42B31E20"/>
    <w:rsid w:val="43014CE6"/>
    <w:rsid w:val="4303280C"/>
    <w:rsid w:val="43195B8C"/>
    <w:rsid w:val="436D237B"/>
    <w:rsid w:val="43A01E09"/>
    <w:rsid w:val="43C53F65"/>
    <w:rsid w:val="43C837B3"/>
    <w:rsid w:val="43D61CCF"/>
    <w:rsid w:val="43D917BF"/>
    <w:rsid w:val="43ED1F6C"/>
    <w:rsid w:val="446439BB"/>
    <w:rsid w:val="446D50F2"/>
    <w:rsid w:val="44986F84"/>
    <w:rsid w:val="45302A08"/>
    <w:rsid w:val="453B496C"/>
    <w:rsid w:val="457A4B71"/>
    <w:rsid w:val="45A066E8"/>
    <w:rsid w:val="45B94D73"/>
    <w:rsid w:val="46E519FF"/>
    <w:rsid w:val="46F838A8"/>
    <w:rsid w:val="47393EFA"/>
    <w:rsid w:val="4742395B"/>
    <w:rsid w:val="475278BE"/>
    <w:rsid w:val="475B7698"/>
    <w:rsid w:val="47981849"/>
    <w:rsid w:val="479D1E00"/>
    <w:rsid w:val="47E0311C"/>
    <w:rsid w:val="48153CCC"/>
    <w:rsid w:val="4861707C"/>
    <w:rsid w:val="48831CF9"/>
    <w:rsid w:val="48AF22C8"/>
    <w:rsid w:val="48DB38E3"/>
    <w:rsid w:val="4927527D"/>
    <w:rsid w:val="493A005B"/>
    <w:rsid w:val="49621938"/>
    <w:rsid w:val="49AB06CD"/>
    <w:rsid w:val="49B15716"/>
    <w:rsid w:val="49BC54C3"/>
    <w:rsid w:val="49C05FF4"/>
    <w:rsid w:val="4A7D4C52"/>
    <w:rsid w:val="4A7E09CA"/>
    <w:rsid w:val="4B143B2C"/>
    <w:rsid w:val="4B637A57"/>
    <w:rsid w:val="4B810CC4"/>
    <w:rsid w:val="4B8F37CA"/>
    <w:rsid w:val="4BDA60D4"/>
    <w:rsid w:val="4C261434"/>
    <w:rsid w:val="4C561BFF"/>
    <w:rsid w:val="4C617781"/>
    <w:rsid w:val="4C6432DA"/>
    <w:rsid w:val="4C6A2748"/>
    <w:rsid w:val="4CAF7561"/>
    <w:rsid w:val="4D477799"/>
    <w:rsid w:val="4DA222A3"/>
    <w:rsid w:val="4DA644C0"/>
    <w:rsid w:val="4DB017E2"/>
    <w:rsid w:val="4E10402F"/>
    <w:rsid w:val="4E3C64E3"/>
    <w:rsid w:val="4EA053B3"/>
    <w:rsid w:val="4EB33338"/>
    <w:rsid w:val="4ED336CC"/>
    <w:rsid w:val="4F2064F4"/>
    <w:rsid w:val="4F367C3E"/>
    <w:rsid w:val="4F474B84"/>
    <w:rsid w:val="4F552641"/>
    <w:rsid w:val="4F9D5933"/>
    <w:rsid w:val="4FA61B8E"/>
    <w:rsid w:val="4FB43616"/>
    <w:rsid w:val="4FBC446F"/>
    <w:rsid w:val="4FF73E8F"/>
    <w:rsid w:val="503119DA"/>
    <w:rsid w:val="504861D0"/>
    <w:rsid w:val="504D156B"/>
    <w:rsid w:val="5060304C"/>
    <w:rsid w:val="50B2368C"/>
    <w:rsid w:val="51142088"/>
    <w:rsid w:val="513444D8"/>
    <w:rsid w:val="513D3F6A"/>
    <w:rsid w:val="51510BE7"/>
    <w:rsid w:val="51907961"/>
    <w:rsid w:val="51947440"/>
    <w:rsid w:val="5209326F"/>
    <w:rsid w:val="523A6198"/>
    <w:rsid w:val="5277467D"/>
    <w:rsid w:val="52B92EE7"/>
    <w:rsid w:val="52F7756C"/>
    <w:rsid w:val="5334431C"/>
    <w:rsid w:val="53AC0356"/>
    <w:rsid w:val="53CC3743"/>
    <w:rsid w:val="545149A1"/>
    <w:rsid w:val="545A4256"/>
    <w:rsid w:val="54924F20"/>
    <w:rsid w:val="54A43723"/>
    <w:rsid w:val="54BA7CF8"/>
    <w:rsid w:val="54EF2BF0"/>
    <w:rsid w:val="54FE2E33"/>
    <w:rsid w:val="552672F3"/>
    <w:rsid w:val="555111B5"/>
    <w:rsid w:val="55545149"/>
    <w:rsid w:val="55621614"/>
    <w:rsid w:val="556B158D"/>
    <w:rsid w:val="55780E38"/>
    <w:rsid w:val="558C48E3"/>
    <w:rsid w:val="55A56B08"/>
    <w:rsid w:val="55AD03B6"/>
    <w:rsid w:val="55F50D42"/>
    <w:rsid w:val="56535401"/>
    <w:rsid w:val="56694C24"/>
    <w:rsid w:val="566F69E1"/>
    <w:rsid w:val="567D422C"/>
    <w:rsid w:val="56882475"/>
    <w:rsid w:val="568E6439"/>
    <w:rsid w:val="569E667C"/>
    <w:rsid w:val="56DF34D4"/>
    <w:rsid w:val="56E542AB"/>
    <w:rsid w:val="572B4669"/>
    <w:rsid w:val="573B211D"/>
    <w:rsid w:val="57767389"/>
    <w:rsid w:val="57960617"/>
    <w:rsid w:val="57B7551B"/>
    <w:rsid w:val="57E32E1A"/>
    <w:rsid w:val="581604CB"/>
    <w:rsid w:val="582157B7"/>
    <w:rsid w:val="583A3465"/>
    <w:rsid w:val="5866766D"/>
    <w:rsid w:val="58890F1D"/>
    <w:rsid w:val="58906498"/>
    <w:rsid w:val="589F66DB"/>
    <w:rsid w:val="59034EBC"/>
    <w:rsid w:val="591F15CA"/>
    <w:rsid w:val="5929513F"/>
    <w:rsid w:val="59352B9C"/>
    <w:rsid w:val="59411F8B"/>
    <w:rsid w:val="598A113A"/>
    <w:rsid w:val="598F3A95"/>
    <w:rsid w:val="59EC40FE"/>
    <w:rsid w:val="5A364428"/>
    <w:rsid w:val="5A403EEE"/>
    <w:rsid w:val="5A4D3C3F"/>
    <w:rsid w:val="5AA4447D"/>
    <w:rsid w:val="5AEE56F8"/>
    <w:rsid w:val="5B0B1E06"/>
    <w:rsid w:val="5B0B44FC"/>
    <w:rsid w:val="5B3167E9"/>
    <w:rsid w:val="5B7B51DE"/>
    <w:rsid w:val="5B9A6F42"/>
    <w:rsid w:val="5BA91098"/>
    <w:rsid w:val="5BFB352E"/>
    <w:rsid w:val="5C391B12"/>
    <w:rsid w:val="5C451348"/>
    <w:rsid w:val="5C6B0868"/>
    <w:rsid w:val="5C6C6C7F"/>
    <w:rsid w:val="5C7A4B60"/>
    <w:rsid w:val="5CA249EC"/>
    <w:rsid w:val="5CAC13C7"/>
    <w:rsid w:val="5CD86660"/>
    <w:rsid w:val="5D1D4073"/>
    <w:rsid w:val="5D445AA3"/>
    <w:rsid w:val="5D7B626B"/>
    <w:rsid w:val="5DAD435C"/>
    <w:rsid w:val="5DCB1D21"/>
    <w:rsid w:val="5E23390B"/>
    <w:rsid w:val="5E912F6A"/>
    <w:rsid w:val="5EAE58CA"/>
    <w:rsid w:val="5EC24ED2"/>
    <w:rsid w:val="5F046C05"/>
    <w:rsid w:val="5F1C6AAE"/>
    <w:rsid w:val="5F3D27AA"/>
    <w:rsid w:val="5F47694C"/>
    <w:rsid w:val="5F6D308F"/>
    <w:rsid w:val="5F80760E"/>
    <w:rsid w:val="5F9A4D90"/>
    <w:rsid w:val="60315805"/>
    <w:rsid w:val="606D3D7F"/>
    <w:rsid w:val="60A25DD6"/>
    <w:rsid w:val="6138591F"/>
    <w:rsid w:val="617F18C6"/>
    <w:rsid w:val="61BE5E24"/>
    <w:rsid w:val="61C827FF"/>
    <w:rsid w:val="61D27B22"/>
    <w:rsid w:val="621E68C3"/>
    <w:rsid w:val="62285994"/>
    <w:rsid w:val="623A7B5C"/>
    <w:rsid w:val="624F1172"/>
    <w:rsid w:val="62780B2A"/>
    <w:rsid w:val="628C7CD0"/>
    <w:rsid w:val="629848C7"/>
    <w:rsid w:val="62C06F85"/>
    <w:rsid w:val="63035AB9"/>
    <w:rsid w:val="630A5F09"/>
    <w:rsid w:val="63396824"/>
    <w:rsid w:val="6356208C"/>
    <w:rsid w:val="63604CA7"/>
    <w:rsid w:val="638E4425"/>
    <w:rsid w:val="63F63329"/>
    <w:rsid w:val="6429154F"/>
    <w:rsid w:val="6457439C"/>
    <w:rsid w:val="64835103"/>
    <w:rsid w:val="65357C58"/>
    <w:rsid w:val="6542378D"/>
    <w:rsid w:val="65530F63"/>
    <w:rsid w:val="655C1CDB"/>
    <w:rsid w:val="659D2971"/>
    <w:rsid w:val="662326FA"/>
    <w:rsid w:val="66546D57"/>
    <w:rsid w:val="666B22F3"/>
    <w:rsid w:val="6686755B"/>
    <w:rsid w:val="66990C0E"/>
    <w:rsid w:val="66B9305E"/>
    <w:rsid w:val="67104B6D"/>
    <w:rsid w:val="6729598A"/>
    <w:rsid w:val="673D5012"/>
    <w:rsid w:val="67544B35"/>
    <w:rsid w:val="6764746E"/>
    <w:rsid w:val="67766D90"/>
    <w:rsid w:val="678E44EB"/>
    <w:rsid w:val="678F07BF"/>
    <w:rsid w:val="67A1616C"/>
    <w:rsid w:val="67AB6E4B"/>
    <w:rsid w:val="681578E8"/>
    <w:rsid w:val="68815DFE"/>
    <w:rsid w:val="68894300"/>
    <w:rsid w:val="688D0A0D"/>
    <w:rsid w:val="68A04CE3"/>
    <w:rsid w:val="68B95597"/>
    <w:rsid w:val="68CA0D57"/>
    <w:rsid w:val="691471D4"/>
    <w:rsid w:val="6972019C"/>
    <w:rsid w:val="69901E79"/>
    <w:rsid w:val="699E02E9"/>
    <w:rsid w:val="69C915EF"/>
    <w:rsid w:val="69D106BF"/>
    <w:rsid w:val="69FE4B7D"/>
    <w:rsid w:val="6A1C352E"/>
    <w:rsid w:val="6A526AF2"/>
    <w:rsid w:val="6A6B4923"/>
    <w:rsid w:val="6A9C2A7B"/>
    <w:rsid w:val="6AA638F9"/>
    <w:rsid w:val="6ACA583A"/>
    <w:rsid w:val="6ACD5187"/>
    <w:rsid w:val="6AD54A33"/>
    <w:rsid w:val="6AE61CF8"/>
    <w:rsid w:val="6AE663EC"/>
    <w:rsid w:val="6B2A09E5"/>
    <w:rsid w:val="6BD83F86"/>
    <w:rsid w:val="6BD846D3"/>
    <w:rsid w:val="6BEA76FB"/>
    <w:rsid w:val="6C044D7B"/>
    <w:rsid w:val="6C1E3C49"/>
    <w:rsid w:val="6C1F0BDB"/>
    <w:rsid w:val="6C375AC5"/>
    <w:rsid w:val="6C726189"/>
    <w:rsid w:val="6C845EBC"/>
    <w:rsid w:val="6CB10A91"/>
    <w:rsid w:val="6CE81FA7"/>
    <w:rsid w:val="6D5533B5"/>
    <w:rsid w:val="6D7922F2"/>
    <w:rsid w:val="6D910891"/>
    <w:rsid w:val="6DB70237"/>
    <w:rsid w:val="6DBC0362"/>
    <w:rsid w:val="6DE852D8"/>
    <w:rsid w:val="6E322412"/>
    <w:rsid w:val="6E470F4F"/>
    <w:rsid w:val="6ECB7D31"/>
    <w:rsid w:val="6ECD72D1"/>
    <w:rsid w:val="6EEB4734"/>
    <w:rsid w:val="6EF23468"/>
    <w:rsid w:val="6F0D3962"/>
    <w:rsid w:val="6F183579"/>
    <w:rsid w:val="6F83245B"/>
    <w:rsid w:val="6FE27F16"/>
    <w:rsid w:val="70445CA3"/>
    <w:rsid w:val="70C251BD"/>
    <w:rsid w:val="71276077"/>
    <w:rsid w:val="71445C1A"/>
    <w:rsid w:val="715A4586"/>
    <w:rsid w:val="71793B16"/>
    <w:rsid w:val="718B213B"/>
    <w:rsid w:val="71AB7A47"/>
    <w:rsid w:val="71B11502"/>
    <w:rsid w:val="71B97C16"/>
    <w:rsid w:val="71E2790D"/>
    <w:rsid w:val="722A4D74"/>
    <w:rsid w:val="72734A09"/>
    <w:rsid w:val="728B1D53"/>
    <w:rsid w:val="72B15531"/>
    <w:rsid w:val="72C60FDD"/>
    <w:rsid w:val="72D024DD"/>
    <w:rsid w:val="73683E42"/>
    <w:rsid w:val="73A81AA0"/>
    <w:rsid w:val="73D70FC8"/>
    <w:rsid w:val="73F13E37"/>
    <w:rsid w:val="741E2752"/>
    <w:rsid w:val="74654D8A"/>
    <w:rsid w:val="747A2703"/>
    <w:rsid w:val="747D7566"/>
    <w:rsid w:val="74D472B5"/>
    <w:rsid w:val="74E4574A"/>
    <w:rsid w:val="74F71211"/>
    <w:rsid w:val="751F1042"/>
    <w:rsid w:val="75322319"/>
    <w:rsid w:val="75341F5F"/>
    <w:rsid w:val="75BA4D7D"/>
    <w:rsid w:val="75E43528"/>
    <w:rsid w:val="76143E0D"/>
    <w:rsid w:val="76211A85"/>
    <w:rsid w:val="76320737"/>
    <w:rsid w:val="77020109"/>
    <w:rsid w:val="77626DFA"/>
    <w:rsid w:val="776D6693"/>
    <w:rsid w:val="77884AB3"/>
    <w:rsid w:val="77CD6969"/>
    <w:rsid w:val="77E90D1D"/>
    <w:rsid w:val="77ED2BBD"/>
    <w:rsid w:val="78022363"/>
    <w:rsid w:val="780659D7"/>
    <w:rsid w:val="7836450F"/>
    <w:rsid w:val="786A41B8"/>
    <w:rsid w:val="78760DAF"/>
    <w:rsid w:val="78CB6791"/>
    <w:rsid w:val="78EA70A7"/>
    <w:rsid w:val="79C30024"/>
    <w:rsid w:val="79FD2E0A"/>
    <w:rsid w:val="7A1C4102"/>
    <w:rsid w:val="7A2926F3"/>
    <w:rsid w:val="7A372DD7"/>
    <w:rsid w:val="7A5C2227"/>
    <w:rsid w:val="7A965738"/>
    <w:rsid w:val="7AC12BB0"/>
    <w:rsid w:val="7AF03942"/>
    <w:rsid w:val="7B023B90"/>
    <w:rsid w:val="7B034413"/>
    <w:rsid w:val="7B3138B1"/>
    <w:rsid w:val="7B346CFF"/>
    <w:rsid w:val="7B6E0B89"/>
    <w:rsid w:val="7BEC69AC"/>
    <w:rsid w:val="7BF72207"/>
    <w:rsid w:val="7C4A67DB"/>
    <w:rsid w:val="7C61368C"/>
    <w:rsid w:val="7C6158D2"/>
    <w:rsid w:val="7C654F7A"/>
    <w:rsid w:val="7C811EDB"/>
    <w:rsid w:val="7CA1044F"/>
    <w:rsid w:val="7CA73C2D"/>
    <w:rsid w:val="7CB131CF"/>
    <w:rsid w:val="7CF8617E"/>
    <w:rsid w:val="7D1961AD"/>
    <w:rsid w:val="7D3A5B95"/>
    <w:rsid w:val="7D821FA4"/>
    <w:rsid w:val="7DAB36FA"/>
    <w:rsid w:val="7DBD122E"/>
    <w:rsid w:val="7DEE3EC2"/>
    <w:rsid w:val="7E5059B3"/>
    <w:rsid w:val="7E924F3D"/>
    <w:rsid w:val="7E9D7358"/>
    <w:rsid w:val="7ED810C3"/>
    <w:rsid w:val="7FBD5144"/>
    <w:rsid w:val="7FD8778E"/>
    <w:rsid w:val="7FEC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ind w:firstLine="720" w:firstLineChars="200"/>
      <w:jc w:val="both"/>
    </w:pPr>
    <w:rPr>
      <w:rFonts w:ascii="minorBidi" w:hAnsi="minorBidi" w:eastAsia="宋体" w:cs="Cambria Math"/>
      <w:kern w:val="2"/>
      <w:sz w:val="24"/>
      <w:lang w:val="en-US" w:eastAsia="zh-CN" w:bidi="ar-SA"/>
    </w:rPr>
  </w:style>
  <w:style w:type="paragraph" w:styleId="2">
    <w:name w:val="heading 1"/>
    <w:basedOn w:val="1"/>
    <w:next w:val="1"/>
    <w:link w:val="45"/>
    <w:autoRedefine/>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3">
    <w:name w:val="heading 2"/>
    <w:basedOn w:val="1"/>
    <w:next w:val="1"/>
    <w:link w:val="46"/>
    <w:autoRedefine/>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4">
    <w:name w:val="heading 3"/>
    <w:basedOn w:val="1"/>
    <w:next w:val="1"/>
    <w:link w:val="44"/>
    <w:autoRedefine/>
    <w:qFormat/>
    <w:uiPriority w:val="99"/>
    <w:pPr>
      <w:keepNext/>
      <w:keepLines/>
      <w:spacing w:before="260" w:after="260" w:line="413" w:lineRule="auto"/>
      <w:jc w:val="center"/>
      <w:outlineLvl w:val="2"/>
    </w:pPr>
    <w:rPr>
      <w:rFonts w:cs="Times New Roman"/>
      <w:b/>
      <w:bCs/>
      <w:kern w:val="0"/>
      <w:sz w:val="32"/>
      <w:szCs w:val="32"/>
    </w:rPr>
  </w:style>
  <w:style w:type="paragraph" w:styleId="5">
    <w:name w:val="heading 4"/>
    <w:basedOn w:val="1"/>
    <w:next w:val="1"/>
    <w:link w:val="47"/>
    <w:autoRedefine/>
    <w:qFormat/>
    <w:uiPriority w:val="99"/>
    <w:pPr>
      <w:keepNext/>
      <w:keepLines/>
      <w:spacing w:before="280" w:after="290" w:line="372" w:lineRule="auto"/>
      <w:outlineLvl w:val="3"/>
    </w:pPr>
    <w:rPr>
      <w:rFonts w:ascii="Cambria" w:hAnsi="Cambria" w:cs="Times New Roman"/>
      <w:b/>
      <w:bCs/>
      <w:kern w:val="0"/>
      <w:sz w:val="28"/>
      <w:szCs w:val="28"/>
    </w:rPr>
  </w:style>
  <w:style w:type="paragraph" w:styleId="6">
    <w:name w:val="heading 5"/>
    <w:basedOn w:val="1"/>
    <w:autoRedefine/>
    <w:unhideWhenUsed/>
    <w:qFormat/>
    <w:locked/>
    <w:uiPriority w:val="1"/>
    <w:pPr>
      <w:ind w:left="977"/>
      <w:outlineLvl w:val="4"/>
    </w:pPr>
    <w:rPr>
      <w:rFonts w:hint="eastAsia"/>
      <w:b/>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spacing w:line="240" w:lineRule="auto"/>
      <w:ind w:left="2520" w:leftChars="1200" w:firstLine="0" w:firstLineChars="0"/>
    </w:pPr>
    <w:rPr>
      <w:rFonts w:ascii="Calibri" w:hAnsi="Calibri" w:cs="Times New Roman"/>
      <w:sz w:val="21"/>
      <w:szCs w:val="22"/>
    </w:rPr>
  </w:style>
  <w:style w:type="paragraph" w:styleId="8">
    <w:name w:val="Normal Indent"/>
    <w:basedOn w:val="1"/>
    <w:autoRedefine/>
    <w:qFormat/>
    <w:uiPriority w:val="0"/>
    <w:pPr>
      <w:adjustRightInd w:val="0"/>
      <w:snapToGrid w:val="0"/>
      <w:spacing w:line="360" w:lineRule="auto"/>
      <w:ind w:firstLine="420"/>
    </w:pPr>
  </w:style>
  <w:style w:type="paragraph" w:styleId="9">
    <w:name w:val="Document Map"/>
    <w:basedOn w:val="1"/>
    <w:link w:val="68"/>
    <w:autoRedefine/>
    <w:unhideWhenUsed/>
    <w:qFormat/>
    <w:uiPriority w:val="99"/>
    <w:pPr>
      <w:widowControl/>
      <w:spacing w:line="240" w:lineRule="auto"/>
      <w:ind w:firstLine="0" w:firstLineChars="0"/>
      <w:jc w:val="left"/>
    </w:pPr>
    <w:rPr>
      <w:rFonts w:ascii="宋体" w:hAnsi="宋体" w:cs="Times New Roman"/>
      <w:kern w:val="0"/>
      <w:sz w:val="18"/>
      <w:szCs w:val="18"/>
    </w:rPr>
  </w:style>
  <w:style w:type="paragraph" w:styleId="10">
    <w:name w:val="annotation text"/>
    <w:basedOn w:val="1"/>
    <w:next w:val="11"/>
    <w:link w:val="49"/>
    <w:autoRedefine/>
    <w:qFormat/>
    <w:uiPriority w:val="99"/>
    <w:pPr>
      <w:jc w:val="left"/>
    </w:pPr>
    <w:rPr>
      <w:rFonts w:cs="Times New Roman"/>
    </w:rPr>
  </w:style>
  <w:style w:type="paragraph" w:styleId="11">
    <w:name w:val="annotation subject"/>
    <w:basedOn w:val="10"/>
    <w:next w:val="10"/>
    <w:link w:val="48"/>
    <w:autoRedefine/>
    <w:qFormat/>
    <w:uiPriority w:val="99"/>
    <w:pPr>
      <w:spacing w:line="240" w:lineRule="auto"/>
      <w:ind w:firstLine="0" w:firstLineChars="0"/>
    </w:pPr>
    <w:rPr>
      <w:b/>
      <w:sz w:val="21"/>
    </w:rPr>
  </w:style>
  <w:style w:type="paragraph" w:styleId="12">
    <w:name w:val="Body Text"/>
    <w:basedOn w:val="1"/>
    <w:link w:val="50"/>
    <w:autoRedefine/>
    <w:qFormat/>
    <w:uiPriority w:val="0"/>
    <w:pPr>
      <w:spacing w:after="120"/>
    </w:pPr>
    <w:rPr>
      <w:rFonts w:ascii="黑体" w:hAnsi="黑体" w:eastAsia="黑体" w:cs="Times New Roman"/>
      <w:sz w:val="22"/>
    </w:rPr>
  </w:style>
  <w:style w:type="paragraph" w:styleId="13">
    <w:name w:val="Body Text Indent"/>
    <w:basedOn w:val="1"/>
    <w:link w:val="51"/>
    <w:autoRedefine/>
    <w:qFormat/>
    <w:uiPriority w:val="99"/>
    <w:pPr>
      <w:spacing w:line="700" w:lineRule="exact"/>
      <w:ind w:left="960"/>
    </w:pPr>
    <w:rPr>
      <w:rFonts w:cs="Times New Roman"/>
      <w:kern w:val="0"/>
      <w:sz w:val="20"/>
    </w:rPr>
  </w:style>
  <w:style w:type="paragraph" w:styleId="14">
    <w:name w:val="toc 5"/>
    <w:basedOn w:val="1"/>
    <w:next w:val="1"/>
    <w:autoRedefine/>
    <w:qFormat/>
    <w:uiPriority w:val="39"/>
    <w:pPr>
      <w:tabs>
        <w:tab w:val="right" w:leader="dot" w:pos="8296"/>
      </w:tabs>
      <w:spacing w:line="240" w:lineRule="auto"/>
      <w:ind w:left="1050" w:leftChars="500" w:firstLine="0" w:firstLineChars="0"/>
    </w:pPr>
    <w:rPr>
      <w:rFonts w:ascii="Calibri" w:hAnsi="Calibri" w:cs="Times New Roman"/>
      <w:sz w:val="21"/>
      <w:szCs w:val="22"/>
    </w:rPr>
  </w:style>
  <w:style w:type="paragraph" w:styleId="15">
    <w:name w:val="toc 3"/>
    <w:basedOn w:val="1"/>
    <w:next w:val="1"/>
    <w:autoRedefine/>
    <w:qFormat/>
    <w:uiPriority w:val="39"/>
    <w:pPr>
      <w:spacing w:line="240" w:lineRule="auto"/>
      <w:ind w:left="840" w:leftChars="400" w:firstLine="0" w:firstLineChars="0"/>
    </w:pPr>
    <w:rPr>
      <w:rFonts w:ascii="Calibri" w:hAnsi="Calibri" w:cs="Times New Roman"/>
      <w:sz w:val="21"/>
      <w:szCs w:val="22"/>
    </w:rPr>
  </w:style>
  <w:style w:type="paragraph" w:styleId="16">
    <w:name w:val="Plain Text"/>
    <w:basedOn w:val="1"/>
    <w:link w:val="83"/>
    <w:autoRedefine/>
    <w:qFormat/>
    <w:uiPriority w:val="0"/>
    <w:rPr>
      <w:rFonts w:ascii="宋体" w:hAnsi="Courier New" w:cs="Times New Roman"/>
      <w:szCs w:val="21"/>
    </w:rPr>
  </w:style>
  <w:style w:type="paragraph" w:styleId="17">
    <w:name w:val="toc 8"/>
    <w:basedOn w:val="1"/>
    <w:next w:val="1"/>
    <w:autoRedefine/>
    <w:unhideWhenUsed/>
    <w:qFormat/>
    <w:uiPriority w:val="39"/>
    <w:pPr>
      <w:spacing w:line="240" w:lineRule="auto"/>
      <w:ind w:left="2940" w:leftChars="1400" w:firstLine="0" w:firstLineChars="0"/>
    </w:pPr>
    <w:rPr>
      <w:rFonts w:ascii="Calibri" w:hAnsi="Calibri" w:cs="Times New Roman"/>
      <w:sz w:val="21"/>
      <w:szCs w:val="22"/>
    </w:rPr>
  </w:style>
  <w:style w:type="paragraph" w:styleId="18">
    <w:name w:val="Date"/>
    <w:basedOn w:val="1"/>
    <w:next w:val="1"/>
    <w:link w:val="52"/>
    <w:autoRedefine/>
    <w:qFormat/>
    <w:uiPriority w:val="99"/>
    <w:rPr>
      <w:rFonts w:cs="Times New Roman"/>
    </w:rPr>
  </w:style>
  <w:style w:type="paragraph" w:styleId="19">
    <w:name w:val="Body Text Indent 2"/>
    <w:basedOn w:val="1"/>
    <w:link w:val="53"/>
    <w:autoRedefine/>
    <w:qFormat/>
    <w:uiPriority w:val="99"/>
    <w:pPr>
      <w:snapToGrid w:val="0"/>
      <w:spacing w:line="440" w:lineRule="atLeast"/>
      <w:ind w:firstLine="570"/>
    </w:pPr>
    <w:rPr>
      <w:rFonts w:cs="Times New Roman"/>
      <w:kern w:val="0"/>
      <w:sz w:val="20"/>
    </w:rPr>
  </w:style>
  <w:style w:type="paragraph" w:styleId="20">
    <w:name w:val="Balloon Text"/>
    <w:basedOn w:val="1"/>
    <w:link w:val="54"/>
    <w:autoRedefine/>
    <w:qFormat/>
    <w:uiPriority w:val="0"/>
    <w:pPr>
      <w:spacing w:line="240" w:lineRule="auto"/>
      <w:ind w:firstLine="1440"/>
    </w:pPr>
    <w:rPr>
      <w:rFonts w:cs="Times New Roman"/>
      <w:sz w:val="18"/>
    </w:rPr>
  </w:style>
  <w:style w:type="paragraph" w:styleId="21">
    <w:name w:val="footer"/>
    <w:basedOn w:val="1"/>
    <w:link w:val="55"/>
    <w:autoRedefine/>
    <w:qFormat/>
    <w:uiPriority w:val="99"/>
    <w:pPr>
      <w:tabs>
        <w:tab w:val="center" w:pos="4153"/>
        <w:tab w:val="right" w:pos="8306"/>
      </w:tabs>
      <w:snapToGrid w:val="0"/>
      <w:jc w:val="left"/>
    </w:pPr>
    <w:rPr>
      <w:rFonts w:cs="Times New Roman"/>
      <w:kern w:val="0"/>
      <w:sz w:val="18"/>
      <w:szCs w:val="18"/>
    </w:rPr>
  </w:style>
  <w:style w:type="paragraph" w:styleId="22">
    <w:name w:val="header"/>
    <w:basedOn w:val="1"/>
    <w:link w:val="56"/>
    <w:autoRedefine/>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3">
    <w:name w:val="toc 1"/>
    <w:basedOn w:val="1"/>
    <w:next w:val="1"/>
    <w:autoRedefine/>
    <w:qFormat/>
    <w:uiPriority w:val="39"/>
    <w:pPr>
      <w:spacing w:before="120" w:after="120"/>
      <w:jc w:val="left"/>
    </w:pPr>
    <w:rPr>
      <w:b/>
      <w:bCs/>
      <w:caps/>
      <w:sz w:val="20"/>
    </w:rPr>
  </w:style>
  <w:style w:type="paragraph" w:styleId="24">
    <w:name w:val="toc 4"/>
    <w:basedOn w:val="1"/>
    <w:next w:val="1"/>
    <w:autoRedefine/>
    <w:qFormat/>
    <w:uiPriority w:val="39"/>
    <w:pPr>
      <w:tabs>
        <w:tab w:val="left" w:pos="1890"/>
        <w:tab w:val="right" w:leader="dot" w:pos="8296"/>
      </w:tabs>
      <w:spacing w:line="240" w:lineRule="auto"/>
      <w:ind w:left="630" w:leftChars="300" w:firstLine="0" w:firstLineChars="0"/>
    </w:pPr>
    <w:rPr>
      <w:rFonts w:ascii="Calibri" w:hAnsi="Calibri" w:cs="Times New Roman"/>
      <w:sz w:val="21"/>
      <w:szCs w:val="22"/>
    </w:rPr>
  </w:style>
  <w:style w:type="paragraph" w:styleId="25">
    <w:name w:val="Subtitle"/>
    <w:basedOn w:val="1"/>
    <w:next w:val="1"/>
    <w:link w:val="69"/>
    <w:autoRedefine/>
    <w:qFormat/>
    <w:locked/>
    <w:uiPriority w:val="11"/>
    <w:pPr>
      <w:widowControl/>
      <w:spacing w:before="240" w:after="60" w:line="312" w:lineRule="auto"/>
      <w:ind w:firstLine="0" w:firstLineChars="0"/>
      <w:jc w:val="center"/>
      <w:outlineLvl w:val="1"/>
    </w:pPr>
    <w:rPr>
      <w:rFonts w:ascii="Calibri Light" w:hAnsi="Calibri Light" w:cs="Times New Roman"/>
      <w:b/>
      <w:bCs/>
      <w:kern w:val="28"/>
      <w:sz w:val="32"/>
      <w:szCs w:val="32"/>
    </w:rPr>
  </w:style>
  <w:style w:type="paragraph" w:styleId="26">
    <w:name w:val="footnote text"/>
    <w:basedOn w:val="1"/>
    <w:link w:val="57"/>
    <w:autoRedefine/>
    <w:qFormat/>
    <w:uiPriority w:val="99"/>
    <w:pPr>
      <w:snapToGrid w:val="0"/>
      <w:jc w:val="left"/>
    </w:pPr>
    <w:rPr>
      <w:rFonts w:ascii="黑体" w:hAnsi="黑体" w:eastAsia="黑体" w:cs="Times New Roman"/>
      <w:sz w:val="22"/>
    </w:rPr>
  </w:style>
  <w:style w:type="paragraph" w:styleId="27">
    <w:name w:val="toc 6"/>
    <w:basedOn w:val="1"/>
    <w:next w:val="1"/>
    <w:autoRedefine/>
    <w:unhideWhenUsed/>
    <w:qFormat/>
    <w:uiPriority w:val="39"/>
    <w:pPr>
      <w:spacing w:line="240" w:lineRule="auto"/>
      <w:ind w:left="2100" w:leftChars="1000" w:firstLine="0" w:firstLineChars="0"/>
    </w:pPr>
    <w:rPr>
      <w:rFonts w:ascii="Calibri" w:hAnsi="Calibri" w:cs="Times New Roman"/>
      <w:sz w:val="21"/>
      <w:szCs w:val="22"/>
    </w:rPr>
  </w:style>
  <w:style w:type="paragraph" w:styleId="28">
    <w:name w:val="toc 2"/>
    <w:basedOn w:val="1"/>
    <w:next w:val="1"/>
    <w:autoRedefine/>
    <w:qFormat/>
    <w:uiPriority w:val="39"/>
    <w:pPr>
      <w:ind w:left="280"/>
      <w:jc w:val="left"/>
    </w:pPr>
    <w:rPr>
      <w:smallCaps/>
      <w:sz w:val="20"/>
    </w:rPr>
  </w:style>
  <w:style w:type="paragraph" w:styleId="29">
    <w:name w:val="toc 9"/>
    <w:basedOn w:val="1"/>
    <w:next w:val="1"/>
    <w:autoRedefine/>
    <w:unhideWhenUsed/>
    <w:qFormat/>
    <w:uiPriority w:val="39"/>
    <w:pPr>
      <w:spacing w:line="240" w:lineRule="auto"/>
      <w:ind w:left="3360" w:leftChars="1600" w:firstLine="0" w:firstLineChars="0"/>
    </w:pPr>
    <w:rPr>
      <w:rFonts w:ascii="Calibri" w:hAnsi="Calibri" w:cs="Times New Roman"/>
      <w:sz w:val="21"/>
      <w:szCs w:val="22"/>
    </w:rPr>
  </w:style>
  <w:style w:type="paragraph" w:styleId="30">
    <w:name w:val="Normal (Web)"/>
    <w:basedOn w:val="1"/>
    <w:autoRedefine/>
    <w:qFormat/>
    <w:uiPriority w:val="99"/>
    <w:rPr>
      <w:rFonts w:ascii="Cambria Math" w:hAnsi="Cambria Math"/>
      <w:szCs w:val="24"/>
    </w:rPr>
  </w:style>
  <w:style w:type="paragraph" w:styleId="31">
    <w:name w:val="Title"/>
    <w:basedOn w:val="1"/>
    <w:next w:val="1"/>
    <w:link w:val="70"/>
    <w:autoRedefine/>
    <w:qFormat/>
    <w:locked/>
    <w:uiPriority w:val="10"/>
    <w:pPr>
      <w:widowControl/>
      <w:spacing w:before="60" w:after="60" w:line="240" w:lineRule="auto"/>
      <w:ind w:firstLine="0" w:firstLineChars="0"/>
      <w:jc w:val="center"/>
      <w:outlineLvl w:val="0"/>
    </w:pPr>
    <w:rPr>
      <w:rFonts w:ascii="Cambria" w:hAnsi="Cambria" w:cs="Times New Roman"/>
      <w:b/>
      <w:bCs/>
      <w:kern w:val="0"/>
      <w:szCs w:val="32"/>
    </w:rPr>
  </w:style>
  <w:style w:type="paragraph" w:styleId="32">
    <w:name w:val="Body Text First Indent"/>
    <w:basedOn w:val="12"/>
    <w:link w:val="58"/>
    <w:autoRedefine/>
    <w:qFormat/>
    <w:uiPriority w:val="99"/>
    <w:pPr>
      <w:spacing w:after="0" w:line="360" w:lineRule="auto"/>
      <w:ind w:firstLine="420" w:firstLineChars="0"/>
    </w:pPr>
    <w:rPr>
      <w:rFonts w:ascii="minorBidi" w:hAnsi="minorBidi"/>
      <w:sz w:val="20"/>
    </w:rPr>
  </w:style>
  <w:style w:type="table" w:styleId="34">
    <w:name w:val="Table Grid"/>
    <w:basedOn w:val="3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99"/>
    <w:rPr>
      <w:rFonts w:cs="Times New Roman"/>
      <w:b/>
    </w:rPr>
  </w:style>
  <w:style w:type="character" w:styleId="37">
    <w:name w:val="page number"/>
    <w:autoRedefine/>
    <w:qFormat/>
    <w:uiPriority w:val="99"/>
    <w:rPr>
      <w:rFonts w:ascii="Cambria Math" w:hAnsi="Cambria Math" w:cs="Times New Roman"/>
    </w:rPr>
  </w:style>
  <w:style w:type="character" w:styleId="38">
    <w:name w:val="FollowedHyperlink"/>
    <w:autoRedefine/>
    <w:qFormat/>
    <w:uiPriority w:val="99"/>
    <w:rPr>
      <w:rFonts w:cs="Times New Roman"/>
      <w:color w:val="800080"/>
      <w:u w:val="single"/>
    </w:rPr>
  </w:style>
  <w:style w:type="character" w:styleId="39">
    <w:name w:val="Hyperlink"/>
    <w:autoRedefine/>
    <w:qFormat/>
    <w:uiPriority w:val="99"/>
    <w:rPr>
      <w:rFonts w:cs="Times New Roman"/>
      <w:color w:val="0563C1"/>
      <w:u w:val="single"/>
    </w:rPr>
  </w:style>
  <w:style w:type="character" w:styleId="40">
    <w:name w:val="annotation reference"/>
    <w:autoRedefine/>
    <w:qFormat/>
    <w:uiPriority w:val="99"/>
    <w:rPr>
      <w:rFonts w:ascii="Cambria Math" w:hAnsi="Cambria Math" w:cs="Times New Roman"/>
      <w:sz w:val="21"/>
    </w:rPr>
  </w:style>
  <w:style w:type="character" w:styleId="41">
    <w:name w:val="footnote reference"/>
    <w:autoRedefine/>
    <w:qFormat/>
    <w:uiPriority w:val="99"/>
    <w:rPr>
      <w:rFonts w:ascii="Cambria Math" w:hAnsi="Cambria Math" w:cs="Times New Roman"/>
      <w:vertAlign w:val="superscript"/>
    </w:rPr>
  </w:style>
  <w:style w:type="paragraph" w:customStyle="1" w:styleId="42">
    <w:name w:val="UserStyle_0"/>
    <w:qFormat/>
    <w:uiPriority w:val="0"/>
    <w:pPr>
      <w:textAlignment w:val="baseline"/>
    </w:pPr>
    <w:rPr>
      <w:rFonts w:ascii="仿宋" w:hAnsi="仿宋" w:eastAsia="宋体" w:cs="Times New Roman"/>
      <w:color w:val="000000"/>
      <w:sz w:val="24"/>
      <w:szCs w:val="24"/>
      <w:lang w:val="en-US" w:eastAsia="zh-CN" w:bidi="ar-SA"/>
    </w:rPr>
  </w:style>
  <w:style w:type="paragraph" w:customStyle="1" w:styleId="43">
    <w:name w:val="BodyText"/>
    <w:basedOn w:val="1"/>
    <w:autoRedefine/>
    <w:qFormat/>
    <w:uiPriority w:val="99"/>
    <w:rPr>
      <w:rFonts w:ascii="仿宋_GB2312" w:eastAsia="仿宋_GB2312"/>
      <w:sz w:val="32"/>
    </w:rPr>
  </w:style>
  <w:style w:type="character" w:customStyle="1" w:styleId="44">
    <w:name w:val="标题 3 字符"/>
    <w:link w:val="4"/>
    <w:autoRedefine/>
    <w:semiHidden/>
    <w:qFormat/>
    <w:locked/>
    <w:uiPriority w:val="99"/>
    <w:rPr>
      <w:rFonts w:ascii="minorBidi" w:hAnsi="minorBidi" w:cs="Cambria Math"/>
      <w:b/>
      <w:bCs/>
      <w:sz w:val="32"/>
      <w:szCs w:val="32"/>
    </w:rPr>
  </w:style>
  <w:style w:type="character" w:customStyle="1" w:styleId="45">
    <w:name w:val="标题 1 字符"/>
    <w:link w:val="2"/>
    <w:autoRedefine/>
    <w:qFormat/>
    <w:locked/>
    <w:uiPriority w:val="9"/>
    <w:rPr>
      <w:rFonts w:ascii="minorBidi" w:hAnsi="minorBidi" w:cs="Times New Roman"/>
      <w:sz w:val="44"/>
      <w:lang w:val="en-US" w:eastAsia="zh-CN"/>
    </w:rPr>
  </w:style>
  <w:style w:type="character" w:customStyle="1" w:styleId="46">
    <w:name w:val="标题 2 字符1"/>
    <w:link w:val="3"/>
    <w:autoRedefine/>
    <w:qFormat/>
    <w:locked/>
    <w:uiPriority w:val="99"/>
    <w:rPr>
      <w:rFonts w:ascii="黑体" w:eastAsia="黑体" w:cs="Times New Roman"/>
      <w:b/>
      <w:kern w:val="2"/>
      <w:sz w:val="28"/>
    </w:rPr>
  </w:style>
  <w:style w:type="character" w:customStyle="1" w:styleId="47">
    <w:name w:val="标题 4 字符"/>
    <w:link w:val="5"/>
    <w:autoRedefine/>
    <w:semiHidden/>
    <w:qFormat/>
    <w:locked/>
    <w:uiPriority w:val="99"/>
    <w:rPr>
      <w:rFonts w:ascii="Cambria" w:hAnsi="Cambria" w:eastAsia="宋体" w:cs="Times New Roman"/>
      <w:b/>
      <w:bCs/>
      <w:sz w:val="28"/>
      <w:szCs w:val="28"/>
    </w:rPr>
  </w:style>
  <w:style w:type="character" w:customStyle="1" w:styleId="48">
    <w:name w:val="批注主题 字符"/>
    <w:link w:val="11"/>
    <w:autoRedefine/>
    <w:qFormat/>
    <w:locked/>
    <w:uiPriority w:val="99"/>
    <w:rPr>
      <w:rFonts w:ascii="minorBidi" w:hAnsi="minorBidi" w:cs="Times New Roman"/>
      <w:b/>
      <w:kern w:val="2"/>
      <w:sz w:val="21"/>
    </w:rPr>
  </w:style>
  <w:style w:type="character" w:customStyle="1" w:styleId="49">
    <w:name w:val="批注文字 字符"/>
    <w:link w:val="10"/>
    <w:autoRedefine/>
    <w:qFormat/>
    <w:locked/>
    <w:uiPriority w:val="99"/>
    <w:rPr>
      <w:rFonts w:ascii="minorBidi" w:hAnsi="minorBidi" w:cs="Times New Roman"/>
      <w:kern w:val="2"/>
      <w:sz w:val="24"/>
    </w:rPr>
  </w:style>
  <w:style w:type="character" w:customStyle="1" w:styleId="50">
    <w:name w:val="正文文本 字符"/>
    <w:link w:val="12"/>
    <w:autoRedefine/>
    <w:qFormat/>
    <w:locked/>
    <w:uiPriority w:val="0"/>
    <w:rPr>
      <w:rFonts w:ascii="黑体" w:hAnsi="黑体" w:eastAsia="黑体" w:cs="Times New Roman"/>
      <w:kern w:val="2"/>
      <w:sz w:val="22"/>
    </w:rPr>
  </w:style>
  <w:style w:type="character" w:customStyle="1" w:styleId="51">
    <w:name w:val="正文文本缩进 字符"/>
    <w:link w:val="13"/>
    <w:autoRedefine/>
    <w:semiHidden/>
    <w:qFormat/>
    <w:locked/>
    <w:uiPriority w:val="99"/>
    <w:rPr>
      <w:rFonts w:ascii="minorBidi" w:hAnsi="minorBidi" w:cs="Cambria Math"/>
      <w:sz w:val="20"/>
      <w:szCs w:val="20"/>
    </w:rPr>
  </w:style>
  <w:style w:type="character" w:customStyle="1" w:styleId="52">
    <w:name w:val="日期 字符"/>
    <w:link w:val="18"/>
    <w:autoRedefine/>
    <w:qFormat/>
    <w:locked/>
    <w:uiPriority w:val="99"/>
    <w:rPr>
      <w:rFonts w:ascii="minorBidi" w:hAnsi="minorBidi" w:cs="Times New Roman"/>
      <w:kern w:val="2"/>
      <w:sz w:val="24"/>
    </w:rPr>
  </w:style>
  <w:style w:type="character" w:customStyle="1" w:styleId="53">
    <w:name w:val="正文文本缩进 2 字符"/>
    <w:link w:val="19"/>
    <w:autoRedefine/>
    <w:semiHidden/>
    <w:qFormat/>
    <w:locked/>
    <w:uiPriority w:val="99"/>
    <w:rPr>
      <w:rFonts w:ascii="minorBidi" w:hAnsi="minorBidi" w:cs="Cambria Math"/>
      <w:sz w:val="20"/>
      <w:szCs w:val="20"/>
    </w:rPr>
  </w:style>
  <w:style w:type="character" w:customStyle="1" w:styleId="54">
    <w:name w:val="批注框文本 字符"/>
    <w:link w:val="20"/>
    <w:autoRedefine/>
    <w:qFormat/>
    <w:locked/>
    <w:uiPriority w:val="0"/>
    <w:rPr>
      <w:rFonts w:ascii="minorBidi" w:hAnsi="minorBidi" w:cs="Times New Roman"/>
      <w:kern w:val="2"/>
      <w:sz w:val="18"/>
    </w:rPr>
  </w:style>
  <w:style w:type="character" w:customStyle="1" w:styleId="55">
    <w:name w:val="页脚 字符"/>
    <w:link w:val="21"/>
    <w:autoRedefine/>
    <w:qFormat/>
    <w:locked/>
    <w:uiPriority w:val="99"/>
    <w:rPr>
      <w:rFonts w:ascii="minorBidi" w:hAnsi="minorBidi" w:cs="Cambria Math"/>
      <w:sz w:val="18"/>
      <w:szCs w:val="18"/>
    </w:rPr>
  </w:style>
  <w:style w:type="character" w:customStyle="1" w:styleId="56">
    <w:name w:val="页眉 字符"/>
    <w:link w:val="22"/>
    <w:autoRedefine/>
    <w:qFormat/>
    <w:locked/>
    <w:uiPriority w:val="99"/>
    <w:rPr>
      <w:rFonts w:ascii="minorBidi" w:hAnsi="minorBidi" w:cs="Cambria Math"/>
      <w:sz w:val="18"/>
      <w:szCs w:val="18"/>
    </w:rPr>
  </w:style>
  <w:style w:type="character" w:customStyle="1" w:styleId="57">
    <w:name w:val="脚注文本 字符"/>
    <w:link w:val="26"/>
    <w:autoRedefine/>
    <w:qFormat/>
    <w:locked/>
    <w:uiPriority w:val="99"/>
    <w:rPr>
      <w:rFonts w:ascii="黑体" w:hAnsi="黑体" w:eastAsia="黑体" w:cs="Times New Roman"/>
      <w:kern w:val="2"/>
      <w:sz w:val="22"/>
    </w:rPr>
  </w:style>
  <w:style w:type="character" w:customStyle="1" w:styleId="58">
    <w:name w:val="正文文本首行缩进 字符"/>
    <w:link w:val="32"/>
    <w:autoRedefine/>
    <w:semiHidden/>
    <w:qFormat/>
    <w:locked/>
    <w:uiPriority w:val="99"/>
    <w:rPr>
      <w:rFonts w:ascii="minorBidi" w:hAnsi="minorBidi" w:eastAsia="黑体" w:cs="Cambria Math"/>
      <w:kern w:val="2"/>
      <w:sz w:val="20"/>
      <w:szCs w:val="20"/>
    </w:rPr>
  </w:style>
  <w:style w:type="paragraph" w:customStyle="1" w:styleId="59">
    <w:name w:val="目录 83"/>
    <w:next w:val="1"/>
    <w:autoRedefine/>
    <w:qFormat/>
    <w:uiPriority w:val="99"/>
    <w:pPr>
      <w:wordWrap w:val="0"/>
      <w:ind w:left="2550"/>
      <w:jc w:val="both"/>
    </w:pPr>
    <w:rPr>
      <w:rFonts w:ascii="Times New Roman" w:hAnsi="Times New Roman" w:eastAsia="宋体" w:cs="Times New Roman"/>
      <w:sz w:val="21"/>
      <w:lang w:val="en-US" w:eastAsia="zh-CN" w:bidi="ar-SA"/>
    </w:rPr>
  </w:style>
  <w:style w:type="paragraph" w:customStyle="1" w:styleId="60">
    <w:name w:val="Heading1"/>
    <w:basedOn w:val="1"/>
    <w:next w:val="1"/>
    <w:autoRedefine/>
    <w:qFormat/>
    <w:uiPriority w:val="99"/>
    <w:pPr>
      <w:keepNext/>
      <w:tabs>
        <w:tab w:val="left" w:pos="3360"/>
      </w:tabs>
      <w:snapToGrid w:val="0"/>
      <w:spacing w:before="312" w:after="156" w:line="800" w:lineRule="atLeast"/>
      <w:jc w:val="center"/>
      <w:textAlignment w:val="baseline"/>
    </w:pPr>
    <w:rPr>
      <w:rFonts w:eastAsia="黑体"/>
      <w:sz w:val="44"/>
    </w:rPr>
  </w:style>
  <w:style w:type="paragraph" w:customStyle="1" w:styleId="61">
    <w:name w:val="列出段落1"/>
    <w:basedOn w:val="1"/>
    <w:autoRedefine/>
    <w:qFormat/>
    <w:uiPriority w:val="99"/>
    <w:pPr>
      <w:ind w:firstLine="420"/>
    </w:pPr>
  </w:style>
  <w:style w:type="paragraph" w:customStyle="1" w:styleId="62">
    <w:name w:val="图例"/>
    <w:basedOn w:val="1"/>
    <w:autoRedefine/>
    <w:qFormat/>
    <w:uiPriority w:val="99"/>
    <w:pPr>
      <w:spacing w:before="120" w:after="120" w:line="360" w:lineRule="auto"/>
      <w:jc w:val="center"/>
    </w:pPr>
    <w:rPr>
      <w:rFonts w:eastAsia="仿宋_GB2312"/>
      <w:b/>
    </w:rPr>
  </w:style>
  <w:style w:type="paragraph" w:customStyle="1" w:styleId="63">
    <w:name w:val="缩进"/>
    <w:basedOn w:val="1"/>
    <w:autoRedefine/>
    <w:qFormat/>
    <w:uiPriority w:val="99"/>
    <w:pPr>
      <w:snapToGrid w:val="0"/>
      <w:spacing w:line="360" w:lineRule="auto"/>
      <w:ind w:firstLine="150" w:firstLineChars="150"/>
    </w:pPr>
    <w:rPr>
      <w:rFonts w:ascii="宋体" w:eastAsia="Times New Roman"/>
      <w:color w:val="000000"/>
      <w:kern w:val="0"/>
      <w:szCs w:val="24"/>
    </w:rPr>
  </w:style>
  <w:style w:type="character" w:customStyle="1" w:styleId="64">
    <w:name w:val="未处理的提及1"/>
    <w:autoRedefine/>
    <w:qFormat/>
    <w:uiPriority w:val="99"/>
    <w:rPr>
      <w:color w:val="605E5C"/>
      <w:shd w:val="clear" w:color="auto" w:fill="E1DFDD"/>
    </w:rPr>
  </w:style>
  <w:style w:type="character" w:customStyle="1" w:styleId="65">
    <w:name w:val="标题 2 字符"/>
    <w:autoRedefine/>
    <w:qFormat/>
    <w:uiPriority w:val="99"/>
    <w:rPr>
      <w:rFonts w:ascii="黑体" w:hAnsi="黑体" w:eastAsia="黑体"/>
      <w:b/>
      <w:sz w:val="28"/>
    </w:rPr>
  </w:style>
  <w:style w:type="character" w:customStyle="1" w:styleId="66">
    <w:name w:val="NormalCharacter"/>
    <w:autoRedefine/>
    <w:qFormat/>
    <w:uiPriority w:val="99"/>
  </w:style>
  <w:style w:type="paragraph" w:customStyle="1" w:styleId="67">
    <w:name w:val="PlainText"/>
    <w:basedOn w:val="1"/>
    <w:autoRedefine/>
    <w:qFormat/>
    <w:uiPriority w:val="99"/>
    <w:pPr>
      <w:snapToGrid w:val="0"/>
      <w:spacing w:line="360" w:lineRule="auto"/>
    </w:pPr>
    <w:rPr>
      <w:rFonts w:ascii="宋体" w:hAnsi="Courier New"/>
      <w:sz w:val="21"/>
    </w:rPr>
  </w:style>
  <w:style w:type="character" w:customStyle="1" w:styleId="68">
    <w:name w:val="文档结构图 字符"/>
    <w:link w:val="9"/>
    <w:autoRedefine/>
    <w:qFormat/>
    <w:uiPriority w:val="99"/>
    <w:rPr>
      <w:rFonts w:ascii="宋体" w:hAnsi="宋体"/>
      <w:sz w:val="18"/>
      <w:szCs w:val="18"/>
    </w:rPr>
  </w:style>
  <w:style w:type="character" w:customStyle="1" w:styleId="69">
    <w:name w:val="副标题 字符"/>
    <w:link w:val="25"/>
    <w:autoRedefine/>
    <w:qFormat/>
    <w:uiPriority w:val="11"/>
    <w:rPr>
      <w:rFonts w:ascii="Calibri Light" w:hAnsi="Calibri Light"/>
      <w:b/>
      <w:bCs/>
      <w:kern w:val="28"/>
      <w:sz w:val="32"/>
      <w:szCs w:val="32"/>
    </w:rPr>
  </w:style>
  <w:style w:type="character" w:customStyle="1" w:styleId="70">
    <w:name w:val="标题 字符"/>
    <w:link w:val="31"/>
    <w:autoRedefine/>
    <w:qFormat/>
    <w:uiPriority w:val="10"/>
    <w:rPr>
      <w:rFonts w:ascii="Cambria" w:hAnsi="Cambria"/>
      <w:b/>
      <w:bCs/>
      <w:sz w:val="24"/>
      <w:szCs w:val="32"/>
    </w:rPr>
  </w:style>
  <w:style w:type="character" w:customStyle="1" w:styleId="71">
    <w:name w:val="15"/>
    <w:autoRedefine/>
    <w:qFormat/>
    <w:uiPriority w:val="0"/>
    <w:rPr>
      <w:rFonts w:hint="default" w:ascii="Times New Roman" w:hAnsi="Times New Roman" w:cs="Times New Roman"/>
      <w:color w:val="464445"/>
      <w:u w:val="none"/>
    </w:rPr>
  </w:style>
  <w:style w:type="paragraph" w:customStyle="1" w:styleId="72">
    <w:name w:val="stitle"/>
    <w:basedOn w:val="1"/>
    <w:autoRedefine/>
    <w:qFormat/>
    <w:uiPriority w:val="0"/>
    <w:pPr>
      <w:widowControl/>
      <w:spacing w:before="100" w:beforeAutospacing="1" w:after="100" w:afterAutospacing="1" w:line="240" w:lineRule="auto"/>
      <w:ind w:firstLine="0" w:firstLineChars="0"/>
      <w:jc w:val="left"/>
    </w:pPr>
    <w:rPr>
      <w:rFonts w:ascii="宋体" w:hAnsi="宋体" w:cs="宋体"/>
      <w:smallCaps/>
      <w:color w:val="000000"/>
      <w:kern w:val="0"/>
      <w:sz w:val="20"/>
    </w:rPr>
  </w:style>
  <w:style w:type="paragraph" w:customStyle="1" w:styleId="73">
    <w:name w:val="zhang"/>
    <w:basedOn w:val="1"/>
    <w:autoRedefine/>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20"/>
    </w:rPr>
  </w:style>
  <w:style w:type="paragraph" w:customStyle="1" w:styleId="74">
    <w:name w:val="tiao"/>
    <w:basedOn w:val="1"/>
    <w:autoRedefine/>
    <w:qFormat/>
    <w:uiPriority w:val="0"/>
    <w:pPr>
      <w:widowControl/>
      <w:shd w:val="clear" w:color="auto" w:fill="AFEEEE"/>
      <w:spacing w:before="100" w:beforeAutospacing="1" w:after="100" w:afterAutospacing="1" w:line="240" w:lineRule="auto"/>
      <w:ind w:firstLine="0" w:firstLineChars="0"/>
      <w:jc w:val="left"/>
    </w:pPr>
    <w:rPr>
      <w:rFonts w:ascii="宋体" w:hAnsi="宋体" w:cs="宋体"/>
      <w:i/>
      <w:iCs/>
      <w:smallCaps/>
      <w:color w:val="6600CC"/>
      <w:kern w:val="0"/>
      <w:sz w:val="20"/>
    </w:rPr>
  </w:style>
  <w:style w:type="paragraph" w:customStyle="1" w:styleId="75">
    <w:name w:val="content"/>
    <w:basedOn w:val="1"/>
    <w:autoRedefine/>
    <w:qFormat/>
    <w:uiPriority w:val="0"/>
    <w:pPr>
      <w:widowControl/>
      <w:spacing w:before="100" w:beforeAutospacing="1" w:after="100" w:afterAutospacing="1" w:line="384" w:lineRule="auto"/>
      <w:ind w:firstLine="0" w:firstLineChars="0"/>
      <w:jc w:val="left"/>
    </w:pPr>
    <w:rPr>
      <w:rFonts w:ascii="宋体" w:hAnsi="宋体" w:cs="宋体"/>
      <w:kern w:val="0"/>
      <w:sz w:val="18"/>
      <w:szCs w:val="18"/>
    </w:rPr>
  </w:style>
  <w:style w:type="paragraph" w:customStyle="1" w:styleId="76">
    <w:name w:val="mtitle"/>
    <w:basedOn w:val="1"/>
    <w:autoRedefine/>
    <w:qFormat/>
    <w:uiPriority w:val="0"/>
    <w:pPr>
      <w:widowControl/>
      <w:spacing w:before="100" w:beforeAutospacing="1" w:after="100" w:afterAutospacing="1" w:line="336" w:lineRule="auto"/>
      <w:ind w:firstLine="0" w:firstLineChars="0"/>
      <w:jc w:val="left"/>
    </w:pPr>
    <w:rPr>
      <w:rFonts w:ascii="宋体" w:hAnsi="宋体" w:cs="宋体"/>
      <w:b/>
      <w:bCs/>
      <w:smallCaps/>
      <w:color w:val="000000"/>
      <w:kern w:val="0"/>
      <w:sz w:val="20"/>
    </w:rPr>
  </w:style>
  <w:style w:type="paragraph" w:customStyle="1" w:styleId="77">
    <w:name w:val="mnotes"/>
    <w:basedOn w:val="1"/>
    <w:autoRedefine/>
    <w:qFormat/>
    <w:uiPriority w:val="0"/>
    <w:pPr>
      <w:widowControl/>
      <w:shd w:val="clear" w:color="auto" w:fill="AFEEEE"/>
      <w:spacing w:before="100" w:beforeAutospacing="1" w:after="100" w:afterAutospacing="1" w:line="336" w:lineRule="auto"/>
      <w:ind w:firstLine="0" w:firstLineChars="0"/>
      <w:jc w:val="left"/>
    </w:pPr>
    <w:rPr>
      <w:rFonts w:ascii="宋体" w:hAnsi="宋体" w:cs="宋体"/>
      <w:smallCaps/>
      <w:color w:val="008080"/>
      <w:kern w:val="0"/>
      <w:sz w:val="20"/>
    </w:rPr>
  </w:style>
  <w:style w:type="paragraph" w:customStyle="1" w:styleId="78">
    <w:name w:val="p17"/>
    <w:basedOn w:val="1"/>
    <w:autoRedefine/>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79">
    <w:name w:val="tiaonoa"/>
    <w:basedOn w:val="1"/>
    <w:autoRedefine/>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18"/>
      <w:szCs w:val="18"/>
    </w:rPr>
  </w:style>
  <w:style w:type="paragraph" w:customStyle="1" w:styleId="80">
    <w:name w:val="p0"/>
    <w:basedOn w:val="1"/>
    <w:autoRedefine/>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81">
    <w:name w:val="tiaoyin"/>
    <w:basedOn w:val="1"/>
    <w:autoRedefine/>
    <w:qFormat/>
    <w:uiPriority w:val="0"/>
    <w:pPr>
      <w:widowControl/>
      <w:spacing w:before="100" w:beforeAutospacing="1" w:after="100" w:afterAutospacing="1" w:line="240" w:lineRule="auto"/>
      <w:ind w:firstLine="0" w:firstLineChars="0"/>
      <w:jc w:val="left"/>
    </w:pPr>
    <w:rPr>
      <w:rFonts w:ascii="宋体" w:hAnsi="宋体" w:cs="宋体"/>
      <w:smallCaps/>
      <w:color w:val="FF0000"/>
      <w:kern w:val="0"/>
      <w:sz w:val="20"/>
    </w:rPr>
  </w:style>
  <w:style w:type="paragraph" w:customStyle="1" w:styleId="82">
    <w:name w:val="TOC 标题1"/>
    <w:basedOn w:val="2"/>
    <w:next w:val="1"/>
    <w:autoRedefine/>
    <w:qFormat/>
    <w:uiPriority w:val="0"/>
    <w:pPr>
      <w:keepLines/>
      <w:tabs>
        <w:tab w:val="clear" w:pos="3360"/>
      </w:tabs>
      <w:snapToGrid/>
      <w:spacing w:beforeLines="0" w:afterLines="0" w:line="576" w:lineRule="auto"/>
      <w:ind w:firstLine="0" w:firstLineChars="0"/>
      <w:jc w:val="both"/>
      <w:outlineLvl w:val="9"/>
    </w:pPr>
    <w:rPr>
      <w:rFonts w:ascii="Calibri" w:hAnsi="Calibri"/>
      <w:b/>
      <w:bCs/>
      <w:kern w:val="44"/>
      <w:szCs w:val="44"/>
    </w:rPr>
  </w:style>
  <w:style w:type="character" w:customStyle="1" w:styleId="83">
    <w:name w:val="纯文本 字符"/>
    <w:link w:val="16"/>
    <w:autoRedefine/>
    <w:qFormat/>
    <w:uiPriority w:val="0"/>
    <w:rPr>
      <w:rFonts w:ascii="宋体" w:hAnsi="Courier New" w:cs="Cambria Math"/>
      <w:kern w:val="2"/>
      <w:sz w:val="24"/>
      <w:szCs w:val="21"/>
    </w:rPr>
  </w:style>
  <w:style w:type="paragraph" w:customStyle="1" w:styleId="84">
    <w:name w:val="_Style 80"/>
    <w:basedOn w:val="1"/>
    <w:next w:val="85"/>
    <w:autoRedefine/>
    <w:qFormat/>
    <w:uiPriority w:val="0"/>
    <w:pPr>
      <w:spacing w:line="240" w:lineRule="auto"/>
      <w:ind w:firstLine="420"/>
    </w:pPr>
    <w:rPr>
      <w:rFonts w:ascii="Calibri" w:hAnsi="Calibri" w:cs="Times New Roman"/>
      <w:sz w:val="21"/>
      <w:szCs w:val="22"/>
    </w:rPr>
  </w:style>
  <w:style w:type="paragraph" w:customStyle="1" w:styleId="85">
    <w:name w:val="列表段落1"/>
    <w:basedOn w:val="1"/>
    <w:autoRedefine/>
    <w:unhideWhenUsed/>
    <w:qFormat/>
    <w:uiPriority w:val="99"/>
    <w:pPr>
      <w:ind w:firstLine="420"/>
    </w:pPr>
  </w:style>
  <w:style w:type="character" w:customStyle="1" w:styleId="86">
    <w:name w:val="未处理的提及2"/>
    <w:autoRedefine/>
    <w:unhideWhenUsed/>
    <w:qFormat/>
    <w:uiPriority w:val="99"/>
    <w:rPr>
      <w:color w:val="605E5C"/>
      <w:shd w:val="clear" w:color="auto" w:fill="E1DFDD"/>
    </w:rPr>
  </w:style>
  <w:style w:type="table" w:customStyle="1" w:styleId="87">
    <w:name w:val="Table Normal"/>
    <w:autoRedefine/>
    <w:unhideWhenUsed/>
    <w:qFormat/>
    <w:uiPriority w:val="0"/>
    <w:tblPr>
      <w:tblCellMar>
        <w:top w:w="0" w:type="dxa"/>
        <w:left w:w="0" w:type="dxa"/>
        <w:bottom w:w="0" w:type="dxa"/>
        <w:right w:w="0" w:type="dxa"/>
      </w:tblCellMar>
    </w:tblPr>
  </w:style>
  <w:style w:type="paragraph" w:customStyle="1" w:styleId="88">
    <w:name w:val="正文样式 Char"/>
    <w:basedOn w:val="1"/>
    <w:autoRedefine/>
    <w:qFormat/>
    <w:uiPriority w:val="0"/>
    <w:pPr>
      <w:adjustRightInd w:val="0"/>
      <w:snapToGrid w:val="0"/>
      <w:spacing w:line="460" w:lineRule="exact"/>
      <w:ind w:firstLine="200"/>
    </w:pPr>
    <w:rPr>
      <w:color w:val="000000"/>
      <w:sz w:val="26"/>
      <w:szCs w:val="26"/>
    </w:rPr>
  </w:style>
  <w:style w:type="paragraph" w:customStyle="1" w:styleId="89">
    <w:name w:val="表格"/>
    <w:autoRedefine/>
    <w:qFormat/>
    <w:uiPriority w:val="0"/>
    <w:pPr>
      <w:adjustRightInd w:val="0"/>
      <w:snapToGrid w:val="0"/>
      <w:spacing w:before="40" w:after="40"/>
      <w:jc w:val="center"/>
    </w:pPr>
    <w:rPr>
      <w:rFonts w:ascii="仿宋_GB2312" w:hAnsi="Times New Roman" w:eastAsia="仿宋_GB2312" w:cs="Times New Roman"/>
      <w:sz w:val="24"/>
      <w:lang w:val="en-US" w:eastAsia="zh-CN" w:bidi="ar-SA"/>
    </w:rPr>
  </w:style>
  <w:style w:type="paragraph" w:styleId="90">
    <w:name w:val="List Paragraph"/>
    <w:basedOn w:val="1"/>
    <w:autoRedefine/>
    <w:qFormat/>
    <w:uiPriority w:val="0"/>
    <w:pPr>
      <w:ind w:firstLine="420"/>
    </w:pPr>
    <w:rPr>
      <w:szCs w:val="40"/>
    </w:rPr>
  </w:style>
  <w:style w:type="paragraph" w:customStyle="1" w:styleId="91">
    <w:name w:val="首行缩进"/>
    <w:basedOn w:val="1"/>
    <w:autoRedefine/>
    <w:qFormat/>
    <w:uiPriority w:val="0"/>
    <w:pPr>
      <w:spacing w:line="360" w:lineRule="auto"/>
      <w:ind w:firstLine="420"/>
    </w:pPr>
    <w:rPr>
      <w:sz w:val="21"/>
    </w:rPr>
  </w:style>
  <w:style w:type="paragraph" w:customStyle="1" w:styleId="92">
    <w:name w:val="列出段落2"/>
    <w:basedOn w:val="1"/>
    <w:autoRedefine/>
    <w:qFormat/>
    <w:uiPriority w:val="0"/>
    <w:pPr>
      <w:ind w:left="720"/>
      <w:contextualSpacing/>
    </w:pPr>
  </w:style>
  <w:style w:type="paragraph" w:customStyle="1" w:styleId="93">
    <w:name w:val="列出段落21"/>
    <w:basedOn w:val="1"/>
    <w:autoRedefine/>
    <w:qFormat/>
    <w:uiPriority w:val="0"/>
    <w:pPr>
      <w:spacing w:line="240" w:lineRule="auto"/>
      <w:ind w:left="720"/>
      <w:contextualSpacing/>
    </w:pPr>
    <w:rPr>
      <w:rFonts w:ascii="Calibri" w:hAnsi="Calibri"/>
    </w:rPr>
  </w:style>
  <w:style w:type="paragraph" w:customStyle="1" w:styleId="94">
    <w:name w:val="用户正文1"/>
    <w:autoRedefine/>
    <w:qFormat/>
    <w:uiPriority w:val="0"/>
    <w:pPr>
      <w:spacing w:line="360" w:lineRule="auto"/>
      <w:ind w:firstLine="573"/>
      <w:jc w:val="both"/>
      <w:textAlignment w:val="center"/>
    </w:pPr>
    <w:rPr>
      <w:rFonts w:ascii="Cambria" w:hAnsi="Cambria" w:eastAsia="宋体" w:cs="Times New Roman"/>
      <w:sz w:val="30"/>
      <w:lang w:val="en-US" w:eastAsia="zh-CN" w:bidi="ar-SA"/>
    </w:rPr>
  </w:style>
  <w:style w:type="paragraph" w:customStyle="1" w:styleId="95">
    <w:name w:val="正文 New New New New New"/>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96">
    <w:name w:val="Default"/>
    <w:autoRedefine/>
    <w:unhideWhenUsed/>
    <w:qFormat/>
    <w:uiPriority w:val="99"/>
    <w:pPr>
      <w:widowControl w:val="0"/>
      <w:autoSpaceDE w:val="0"/>
      <w:autoSpaceDN w:val="0"/>
      <w:adjustRightInd w:val="0"/>
    </w:pPr>
    <w:rPr>
      <w:rFonts w:hint="eastAsia" w:ascii="仿宋" w:hAnsi="仿宋" w:eastAsia="宋体" w:cs="仿宋"/>
      <w:color w:val="000000"/>
      <w:sz w:val="24"/>
      <w:szCs w:val="24"/>
      <w:lang w:val="en-US" w:eastAsia="zh-CN" w:bidi="ar-SA"/>
    </w:rPr>
  </w:style>
  <w:style w:type="paragraph" w:customStyle="1" w:styleId="97">
    <w:name w:val="Table Paragraph"/>
    <w:basedOn w:val="1"/>
    <w:autoRedefine/>
    <w:unhideWhenUsed/>
    <w:qFormat/>
    <w:uiPriority w:val="1"/>
    <w:rPr>
      <w:rFonts w:hint="eastAsia"/>
      <w:szCs w:val="24"/>
    </w:rPr>
  </w:style>
  <w:style w:type="paragraph" w:customStyle="1" w:styleId="98">
    <w:name w:val="正文2"/>
    <w:basedOn w:val="1"/>
    <w:autoRedefine/>
    <w:qFormat/>
    <w:uiPriority w:val="0"/>
    <w:pPr>
      <w:keepNext/>
      <w:keepLines/>
      <w:widowControl/>
      <w:tabs>
        <w:tab w:val="left" w:pos="907"/>
      </w:tabs>
      <w:ind w:firstLine="0" w:firstLineChars="0"/>
      <w:jc w:val="left"/>
      <w:textAlignment w:val="baseline"/>
    </w:pPr>
    <w:rPr>
      <w:rFonts w:ascii="Arial" w:hAnsi="Arial" w:eastAsia="微软雅黑"/>
      <w:sz w:val="18"/>
    </w:rPr>
  </w:style>
  <w:style w:type="paragraph" w:customStyle="1" w:styleId="99">
    <w:name w:val="分要点"/>
    <w:basedOn w:val="1"/>
    <w:autoRedefine/>
    <w:qFormat/>
    <w:uiPriority w:val="0"/>
    <w:pPr>
      <w:widowControl/>
      <w:spacing w:line="360" w:lineRule="auto"/>
      <w:ind w:left="860" w:hanging="420" w:firstLineChars="0"/>
      <w:jc w:val="left"/>
    </w:pPr>
    <w:rPr>
      <w:rFonts w:ascii="微软雅黑" w:hAnsi="微软雅黑" w:eastAsia="微软雅黑"/>
      <w:lang w:eastAsia="en-US"/>
    </w:rPr>
  </w:style>
  <w:style w:type="character" w:customStyle="1" w:styleId="100">
    <w:name w:val="font61"/>
    <w:basedOn w:val="35"/>
    <w:qFormat/>
    <w:uiPriority w:val="0"/>
    <w:rPr>
      <w:rFonts w:hint="default" w:ascii="方正仿宋_GBK" w:hAnsi="方正仿宋_GBK" w:eastAsia="方正仿宋_GBK" w:cs="方正仿宋_GBK"/>
      <w:color w:val="000000"/>
      <w:sz w:val="18"/>
      <w:szCs w:val="18"/>
      <w:u w:val="none"/>
    </w:rPr>
  </w:style>
  <w:style w:type="character" w:customStyle="1" w:styleId="101">
    <w:name w:val="font151"/>
    <w:basedOn w:val="35"/>
    <w:qFormat/>
    <w:uiPriority w:val="0"/>
    <w:rPr>
      <w:rFonts w:ascii="Microsoft YaHei UI" w:hAnsi="Microsoft YaHei UI" w:eastAsia="Microsoft YaHei UI" w:cs="Microsoft YaHei UI"/>
      <w:color w:val="000000"/>
      <w:sz w:val="16"/>
      <w:szCs w:val="16"/>
      <w:u w:val="none"/>
    </w:rPr>
  </w:style>
  <w:style w:type="character" w:customStyle="1" w:styleId="102">
    <w:name w:val="font121"/>
    <w:basedOn w:val="35"/>
    <w:qFormat/>
    <w:uiPriority w:val="0"/>
    <w:rPr>
      <w:rFonts w:hint="default" w:ascii="Times New Roman" w:hAnsi="Times New Roman" w:cs="Times New Roman"/>
      <w:color w:val="000000"/>
      <w:sz w:val="18"/>
      <w:szCs w:val="18"/>
      <w:u w:val="none"/>
    </w:rPr>
  </w:style>
  <w:style w:type="character" w:customStyle="1" w:styleId="103">
    <w:name w:val="font112"/>
    <w:basedOn w:val="35"/>
    <w:qFormat/>
    <w:uiPriority w:val="0"/>
    <w:rPr>
      <w:rFonts w:hint="eastAsia" w:ascii="宋体" w:hAnsi="宋体" w:eastAsia="宋体" w:cs="宋体"/>
      <w:color w:val="000000"/>
      <w:sz w:val="18"/>
      <w:szCs w:val="18"/>
      <w:u w:val="none"/>
    </w:rPr>
  </w:style>
  <w:style w:type="character" w:customStyle="1" w:styleId="104">
    <w:name w:val="font161"/>
    <w:basedOn w:val="35"/>
    <w:qFormat/>
    <w:uiPriority w:val="0"/>
    <w:rPr>
      <w:rFonts w:hint="default" w:ascii="Microsoft YaHei UI" w:hAnsi="Microsoft YaHei UI" w:eastAsia="Microsoft YaHei UI" w:cs="Microsoft YaHei UI"/>
      <w:color w:val="000000"/>
      <w:sz w:val="18"/>
      <w:szCs w:val="18"/>
      <w:u w:val="none"/>
    </w:rPr>
  </w:style>
  <w:style w:type="character" w:customStyle="1" w:styleId="105">
    <w:name w:val="font51"/>
    <w:basedOn w:val="35"/>
    <w:qFormat/>
    <w:uiPriority w:val="0"/>
    <w:rPr>
      <w:rFonts w:hint="default" w:ascii="方正仿宋_GBK" w:hAnsi="方正仿宋_GBK" w:eastAsia="方正仿宋_GBK" w:cs="方正仿宋_GBK"/>
      <w:color w:val="000000"/>
      <w:sz w:val="22"/>
      <w:szCs w:val="22"/>
      <w:u w:val="none"/>
    </w:rPr>
  </w:style>
  <w:style w:type="character" w:customStyle="1" w:styleId="106">
    <w:name w:val="font81"/>
    <w:basedOn w:val="35"/>
    <w:qFormat/>
    <w:uiPriority w:val="0"/>
    <w:rPr>
      <w:rFonts w:hint="default" w:ascii="Times New Roman" w:hAnsi="Times New Roman" w:cs="Times New Roman"/>
      <w:color w:val="000000"/>
      <w:sz w:val="22"/>
      <w:szCs w:val="22"/>
      <w:u w:val="none"/>
    </w:rPr>
  </w:style>
  <w:style w:type="character" w:customStyle="1" w:styleId="107">
    <w:name w:val="font41"/>
    <w:basedOn w:val="35"/>
    <w:qFormat/>
    <w:uiPriority w:val="0"/>
    <w:rPr>
      <w:rFonts w:hint="default" w:ascii="Times New Roman" w:hAnsi="Times New Roman" w:cs="Times New Roman"/>
      <w:color w:val="000000"/>
      <w:sz w:val="22"/>
      <w:szCs w:val="22"/>
      <w:u w:val="none"/>
    </w:rPr>
  </w:style>
  <w:style w:type="character" w:customStyle="1" w:styleId="108">
    <w:name w:val="未处理的提及3"/>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6DEB3-0AEE-4B43-A157-1FABB369088D}">
  <ds:schemaRefs/>
</ds:datastoreItem>
</file>

<file path=docProps/app.xml><?xml version="1.0" encoding="utf-8"?>
<Properties xmlns="http://schemas.openxmlformats.org/officeDocument/2006/extended-properties" xmlns:vt="http://schemas.openxmlformats.org/officeDocument/2006/docPropsVTypes">
  <Template>Normal.dotm</Template>
  <Company>巴南区行政服务中心</Company>
  <Pages>50</Pages>
  <Words>19183</Words>
  <Characters>19901</Characters>
  <Lines>153</Lines>
  <Paragraphs>43</Paragraphs>
  <TotalTime>12</TotalTime>
  <ScaleCrop>false</ScaleCrop>
  <LinksUpToDate>false</LinksUpToDate>
  <CharactersWithSpaces>20721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2024-02-05T02:20:00Z</dcterms:created>
  <dc:creator>Administrator</dc:creator>
  <cp:lastModifiedBy>admin</cp:lastModifiedBy>
  <cp:lastPrinted>2023-07-10T07:18:00Z</cp:lastPrinted>
  <dcterms:modified xsi:type="dcterms:W3CDTF">2025-12-31T03:31:33Z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622DF0C63E8B4BBEAC22E5C10F0664FA_13</vt:lpwstr>
  </property>
  <property fmtid="{D5CDD505-2E9C-101B-9397-08002B2CF9AE}" pid="4" name="KSOTemplateDocerSaveRecord">
    <vt:lpwstr>eyJoZGlkIjoiMjI0M2Y5NzY4ZTVlZGU0Nzc1OGVjOTkxZDExMTM2NTUiLCJ1c2VySWQiOiI0NTgyNTI5NTcifQ==</vt:lpwstr>
  </property>
</Properties>
</file>